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0332B5" w14:textId="61DC9334" w:rsidR="4E36EE58" w:rsidRDefault="4E36EE58" w:rsidP="4E36EE58">
      <w:pPr>
        <w:pStyle w:val="Header"/>
        <w:rPr>
          <w:noProof w:val="0"/>
          <w:sz w:val="24"/>
          <w:szCs w:val="24"/>
        </w:rPr>
      </w:pPr>
      <w:bookmarkStart w:id="0" w:name="_GoBack"/>
      <w:bookmarkEnd w:id="0"/>
    </w:p>
    <w:p w14:paraId="2CAF8BA0" w14:textId="53E82582" w:rsidR="00DC19CF" w:rsidRPr="00B266B0" w:rsidRDefault="00DC19CF" w:rsidP="00DC19CF">
      <w:pPr>
        <w:pStyle w:val="Header"/>
        <w:tabs>
          <w:tab w:val="right" w:pos="9639"/>
        </w:tabs>
        <w:rPr>
          <w:bCs/>
          <w:i/>
          <w:noProof w:val="0"/>
          <w:sz w:val="24"/>
          <w:szCs w:val="24"/>
        </w:rPr>
      </w:pPr>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WG2 NR Adhoc #2</w:t>
      </w:r>
      <w:r w:rsidRPr="00B266B0">
        <w:rPr>
          <w:bCs/>
          <w:noProof w:val="0"/>
          <w:sz w:val="24"/>
          <w:szCs w:val="24"/>
        </w:rPr>
        <w:tab/>
      </w:r>
      <w:r w:rsidR="004744B5" w:rsidRPr="004744B5">
        <w:rPr>
          <w:bCs/>
          <w:noProof w:val="0"/>
          <w:sz w:val="24"/>
          <w:szCs w:val="24"/>
        </w:rPr>
        <w:t>R2-1706857</w:t>
      </w:r>
    </w:p>
    <w:p w14:paraId="7B9B8285" w14:textId="52ED4430" w:rsidR="0031637B" w:rsidRPr="00B266B0" w:rsidRDefault="00DC19CF" w:rsidP="00DC19CF">
      <w:pPr>
        <w:pStyle w:val="Header"/>
        <w:tabs>
          <w:tab w:val="right" w:pos="9639"/>
        </w:tabs>
        <w:rPr>
          <w:bCs/>
          <w:noProof w:val="0"/>
          <w:sz w:val="24"/>
          <w:szCs w:val="24"/>
        </w:rPr>
      </w:pPr>
      <w:r>
        <w:rPr>
          <w:rFonts w:eastAsia="SimSun"/>
          <w:noProof w:val="0"/>
          <w:sz w:val="24"/>
          <w:szCs w:val="24"/>
          <w:lang w:eastAsia="zh-CN"/>
        </w:rPr>
        <w:t>Qingdao</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27 - 29 June </w:t>
      </w:r>
      <w:r w:rsidRPr="00C24650">
        <w:rPr>
          <w:rFonts w:eastAsia="SimSun"/>
          <w:noProof w:val="0"/>
          <w:sz w:val="24"/>
          <w:szCs w:val="24"/>
          <w:lang w:eastAsia="zh-CN"/>
        </w:rPr>
        <w:t>201</w:t>
      </w:r>
      <w:r>
        <w:rPr>
          <w:rFonts w:eastAsia="SimSun"/>
          <w:noProof w:val="0"/>
          <w:sz w:val="24"/>
          <w:szCs w:val="24"/>
          <w:lang w:eastAsia="zh-CN"/>
        </w:rPr>
        <w:t>7</w:t>
      </w:r>
    </w:p>
    <w:p w14:paraId="17EB1A36" w14:textId="77777777" w:rsidR="0031637B" w:rsidRPr="00B266B0" w:rsidRDefault="0031637B" w:rsidP="0031637B">
      <w:pPr>
        <w:pStyle w:val="Header"/>
        <w:rPr>
          <w:bCs/>
          <w:noProof w:val="0"/>
          <w:sz w:val="24"/>
        </w:rPr>
      </w:pPr>
    </w:p>
    <w:p w14:paraId="315940B1" w14:textId="0071007E" w:rsidR="0031637B" w:rsidRPr="00B266B0" w:rsidRDefault="0031637B" w:rsidP="003163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744B5" w:rsidRPr="004744B5">
        <w:rPr>
          <w:rFonts w:cs="Arial"/>
          <w:b/>
          <w:bCs/>
          <w:sz w:val="24"/>
          <w:lang w:eastAsia="ja-JP"/>
        </w:rPr>
        <w:t>10.2.5</w:t>
      </w:r>
    </w:p>
    <w:p w14:paraId="48138D2F" w14:textId="77777777" w:rsidR="0031637B" w:rsidRPr="00B266B0" w:rsidRDefault="0031637B" w:rsidP="003163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311C1778" w14:textId="0CAA29EA" w:rsidR="0031637B" w:rsidRDefault="0031637B" w:rsidP="003163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E7E09">
        <w:rPr>
          <w:rFonts w:ascii="Arial" w:hAnsi="Arial" w:cs="Arial"/>
          <w:b/>
          <w:bCs/>
          <w:sz w:val="24"/>
        </w:rPr>
        <w:t>Further considerations for SCG SRB and RLF handling</w:t>
      </w:r>
    </w:p>
    <w:p w14:paraId="1DBD36CE" w14:textId="6FEB83DB" w:rsidR="0031637B" w:rsidRPr="00B266B0" w:rsidRDefault="0031637B" w:rsidP="003163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4F42A2">
        <w:rPr>
          <w:rFonts w:ascii="Arial" w:hAnsi="Arial" w:cs="Arial"/>
          <w:b/>
          <w:bCs/>
          <w:sz w:val="24"/>
        </w:rPr>
        <w:t>NR_newRAT (Release 15)</w:t>
      </w:r>
    </w:p>
    <w:p w14:paraId="7EEC3900" w14:textId="77777777" w:rsidR="0031637B" w:rsidRPr="00B266B0" w:rsidRDefault="0031637B" w:rsidP="003163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3398A5AF" w:rsidR="00CD4C7B" w:rsidRDefault="00CD4C7B" w:rsidP="00CD4C7B">
      <w:pPr>
        <w:pStyle w:val="Heading1"/>
      </w:pPr>
      <w:r w:rsidRPr="006E13D1">
        <w:t>1</w:t>
      </w:r>
      <w:r w:rsidRPr="006E13D1">
        <w:tab/>
      </w:r>
      <w:r w:rsidR="0056573F">
        <w:t>Introduction</w:t>
      </w:r>
    </w:p>
    <w:p w14:paraId="1B1D93FA" w14:textId="77777777" w:rsidR="00CB4EC3" w:rsidRDefault="00CB4EC3" w:rsidP="00CB4EC3">
      <w:r>
        <w:t>In the RAN2#98 meeting, the following agreements were made during the discussion on SCG SRB and SCG RLF.</w:t>
      </w:r>
    </w:p>
    <w:p w14:paraId="58C2A3E1" w14:textId="77777777" w:rsidR="00CB4EC3" w:rsidRDefault="00CB4EC3" w:rsidP="00CB4EC3">
      <w:pPr>
        <w:pStyle w:val="Doc-text2"/>
        <w:pBdr>
          <w:top w:val="single" w:sz="4" w:space="1" w:color="auto"/>
          <w:left w:val="single" w:sz="4" w:space="4" w:color="auto"/>
          <w:bottom w:val="single" w:sz="4" w:space="1" w:color="auto"/>
          <w:right w:val="single" w:sz="4" w:space="4" w:color="auto"/>
        </w:pBdr>
      </w:pPr>
      <w:r>
        <w:t>Agreements for EN-DC and NGEN-DC:</w:t>
      </w:r>
    </w:p>
    <w:p w14:paraId="3E15C235" w14:textId="77777777" w:rsidR="00CB4EC3" w:rsidRDefault="00CB4EC3" w:rsidP="00CB4EC3">
      <w:pPr>
        <w:pStyle w:val="Doc-text2"/>
        <w:pBdr>
          <w:top w:val="single" w:sz="4" w:space="1" w:color="auto"/>
          <w:left w:val="single" w:sz="4" w:space="4" w:color="auto"/>
          <w:bottom w:val="single" w:sz="4" w:space="1" w:color="auto"/>
          <w:right w:val="single" w:sz="4" w:space="4" w:color="auto"/>
        </w:pBdr>
      </w:pPr>
      <w:r>
        <w:t>1:</w:t>
      </w:r>
      <w:r>
        <w:tab/>
        <w:t xml:space="preserve">SCG SRB is modelled as one of the NR SRBs defined in 38.331. </w:t>
      </w:r>
    </w:p>
    <w:p w14:paraId="63C8526E" w14:textId="77777777" w:rsidR="00CB4EC3" w:rsidRDefault="00CB4EC3" w:rsidP="00CB4EC3">
      <w:pPr>
        <w:pStyle w:val="Doc-text2"/>
        <w:pBdr>
          <w:top w:val="single" w:sz="4" w:space="1" w:color="auto"/>
          <w:left w:val="single" w:sz="4" w:space="4" w:color="auto"/>
          <w:bottom w:val="single" w:sz="4" w:space="1" w:color="auto"/>
          <w:right w:val="single" w:sz="4" w:space="4" w:color="auto"/>
        </w:pBdr>
      </w:pPr>
      <w:r>
        <w:t>2:</w:t>
      </w:r>
      <w:r>
        <w:tab/>
        <w:t xml:space="preserve">SCG SRB uses NR-DCCH logical channel type. </w:t>
      </w:r>
    </w:p>
    <w:p w14:paraId="170F2460" w14:textId="77777777" w:rsidR="00CB4EC3" w:rsidRDefault="00CB4EC3" w:rsidP="00CB4EC3">
      <w:pPr>
        <w:pStyle w:val="Doc-text2"/>
        <w:pBdr>
          <w:top w:val="single" w:sz="4" w:space="1" w:color="auto"/>
          <w:left w:val="single" w:sz="4" w:space="4" w:color="auto"/>
          <w:bottom w:val="single" w:sz="4" w:space="1" w:color="auto"/>
          <w:right w:val="single" w:sz="4" w:space="4" w:color="auto"/>
        </w:pBdr>
      </w:pPr>
      <w:r>
        <w:t>3:</w:t>
      </w:r>
      <w:r>
        <w:tab/>
        <w:t xml:space="preserve">A UE can be configured with both split MCG SRB and SCG SRB simultaneously. </w:t>
      </w:r>
    </w:p>
    <w:p w14:paraId="3AF32542" w14:textId="77777777" w:rsidR="00CB4EC3" w:rsidRDefault="00CB4EC3" w:rsidP="00CB4EC3">
      <w:pPr>
        <w:pStyle w:val="Doc-text2"/>
        <w:pBdr>
          <w:top w:val="single" w:sz="4" w:space="1" w:color="auto"/>
          <w:left w:val="single" w:sz="4" w:space="4" w:color="auto"/>
          <w:bottom w:val="single" w:sz="4" w:space="1" w:color="auto"/>
          <w:right w:val="single" w:sz="4" w:space="4" w:color="auto"/>
        </w:pBdr>
      </w:pPr>
      <w:r>
        <w:t>4:</w:t>
      </w:r>
      <w:r>
        <w:tab/>
        <w:t xml:space="preserve">SCG SRB and the SCG leg of split SRB1/2 will be independently configured </w:t>
      </w:r>
    </w:p>
    <w:p w14:paraId="1CE9192A" w14:textId="77777777" w:rsidR="00CB4EC3" w:rsidRDefault="00CB4EC3" w:rsidP="00CB4EC3">
      <w:pPr>
        <w:pStyle w:val="Doc-text2"/>
        <w:pBdr>
          <w:top w:val="single" w:sz="4" w:space="1" w:color="auto"/>
          <w:left w:val="single" w:sz="4" w:space="4" w:color="auto"/>
          <w:bottom w:val="single" w:sz="4" w:space="1" w:color="auto"/>
          <w:right w:val="single" w:sz="4" w:space="4" w:color="auto"/>
        </w:pBdr>
      </w:pPr>
      <w:r>
        <w:t>5:</w:t>
      </w:r>
      <w:r>
        <w:tab/>
        <w:t>SCG-SRB establishment and release can be done at SCG addition and SN change</w:t>
      </w:r>
    </w:p>
    <w:p w14:paraId="35771EF9" w14:textId="77777777" w:rsidR="00CB4EC3" w:rsidRDefault="00CB4EC3" w:rsidP="00CB4EC3">
      <w:pPr>
        <w:pStyle w:val="Doc-text2"/>
        <w:pBdr>
          <w:top w:val="single" w:sz="4" w:space="1" w:color="auto"/>
          <w:left w:val="single" w:sz="4" w:space="4" w:color="auto"/>
          <w:bottom w:val="single" w:sz="4" w:space="1" w:color="auto"/>
          <w:right w:val="single" w:sz="4" w:space="4" w:color="auto"/>
        </w:pBdr>
      </w:pPr>
      <w:r>
        <w:t>6</w:t>
      </w:r>
      <w:r>
        <w:tab/>
        <w:t>SCG-SRB reconfiguration can be done at SCG modification procedure.</w:t>
      </w:r>
    </w:p>
    <w:p w14:paraId="35EC1192" w14:textId="77777777" w:rsidR="00CB4EC3" w:rsidRDefault="00CB4EC3" w:rsidP="00CB4EC3">
      <w:pPr>
        <w:pStyle w:val="Doc-text2"/>
        <w:pBdr>
          <w:top w:val="single" w:sz="4" w:space="1" w:color="auto"/>
          <w:left w:val="single" w:sz="4" w:space="4" w:color="auto"/>
          <w:bottom w:val="single" w:sz="4" w:space="1" w:color="auto"/>
          <w:right w:val="single" w:sz="4" w:space="4" w:color="auto"/>
        </w:pBdr>
      </w:pPr>
      <w:r>
        <w:t>7</w:t>
      </w:r>
      <w:r>
        <w:tab/>
        <w:t>RRC PDUs on SCG-SRB are ciphered using NR PDCP.</w:t>
      </w:r>
    </w:p>
    <w:p w14:paraId="3C6AE315" w14:textId="77777777" w:rsidR="00CB4EC3" w:rsidRDefault="00CB4EC3" w:rsidP="00CB4EC3">
      <w:pPr>
        <w:pStyle w:val="Doc-text2"/>
        <w:pBdr>
          <w:top w:val="single" w:sz="4" w:space="1" w:color="auto"/>
          <w:left w:val="single" w:sz="4" w:space="4" w:color="auto"/>
          <w:bottom w:val="single" w:sz="4" w:space="1" w:color="auto"/>
          <w:right w:val="single" w:sz="4" w:space="4" w:color="auto"/>
        </w:pBdr>
      </w:pPr>
      <w:r>
        <w:t>8</w:t>
      </w:r>
      <w:r>
        <w:tab/>
        <w:t>RRC PDUs on SCG-SRB are integrity protected using NR PDCP.</w:t>
      </w:r>
    </w:p>
    <w:p w14:paraId="6B967CAF" w14:textId="77777777" w:rsidR="00CB4EC3" w:rsidRDefault="00CB4EC3" w:rsidP="00CB4EC3">
      <w:pPr>
        <w:pStyle w:val="Doc-text2"/>
        <w:pBdr>
          <w:top w:val="single" w:sz="4" w:space="1" w:color="auto"/>
          <w:left w:val="single" w:sz="4" w:space="4" w:color="auto"/>
          <w:bottom w:val="single" w:sz="4" w:space="1" w:color="auto"/>
          <w:right w:val="single" w:sz="4" w:space="4" w:color="auto"/>
        </w:pBdr>
      </w:pPr>
      <w:r>
        <w:t>9</w:t>
      </w:r>
      <w:r>
        <w:tab/>
        <w:t>Security keys for SCG-SRB are derived from S-KgNB.</w:t>
      </w:r>
    </w:p>
    <w:p w14:paraId="073A4089" w14:textId="77777777" w:rsidR="00CB4EC3" w:rsidRDefault="00CB4EC3" w:rsidP="00CB4EC3"/>
    <w:p w14:paraId="0BBDFC0A" w14:textId="5F342EEA" w:rsidR="00CD4C7B" w:rsidRDefault="008A7AA2" w:rsidP="00CD4C7B">
      <w:r>
        <w:t xml:space="preserve">In the RAN2#97-bis meeting, </w:t>
      </w:r>
      <w:r w:rsidR="008120A9">
        <w:t>the following agreements were made during the discussion on SCG SRB and SCG RLF.</w:t>
      </w:r>
    </w:p>
    <w:p w14:paraId="6C14D9BF"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Agreements:</w:t>
      </w:r>
    </w:p>
    <w:p w14:paraId="76F2618E"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1</w:t>
      </w:r>
      <w:r>
        <w:tab/>
        <w:t>SCG SRB can be configured based on network decision.</w:t>
      </w:r>
    </w:p>
    <w:p w14:paraId="4B9582FD"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2</w:t>
      </w:r>
      <w:r>
        <w:tab/>
        <w:t>Addition of SCG SRB is decided by SN.</w:t>
      </w:r>
    </w:p>
    <w:p w14:paraId="41CF0E3C"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rsidRPr="00246194">
        <w:rPr>
          <w:b/>
        </w:rPr>
        <w:t>FFS</w:t>
      </w:r>
      <w:r>
        <w:t xml:space="preserve"> Whether the MN can request establishment of SCG SRB</w:t>
      </w:r>
    </w:p>
    <w:p w14:paraId="3F61E3F8"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3</w:t>
      </w:r>
      <w:r>
        <w:tab/>
        <w:t>SCG SRB configuration is provided by NR RRC from SN.</w:t>
      </w:r>
    </w:p>
    <w:p w14:paraId="29738892"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4</w:t>
      </w:r>
      <w:r>
        <w:tab/>
        <w:t>NR RRC complete messages and measurement reports are mapped to the same SRB as the message initiating the procedure.</w:t>
      </w:r>
    </w:p>
    <w:p w14:paraId="504B1CF5"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rsidRPr="00246194">
        <w:rPr>
          <w:b/>
        </w:rPr>
        <w:t>FFS</w:t>
      </w:r>
      <w:r>
        <w:t xml:space="preserve"> Whether there are any exceptional cases for the complete messages</w:t>
      </w:r>
    </w:p>
    <w:p w14:paraId="6CA2CDA0"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rsidRPr="00246194">
        <w:rPr>
          <w:b/>
        </w:rPr>
        <w:t>FFS</w:t>
      </w:r>
      <w:r>
        <w:t xml:space="preserve"> Whether explicit configuration is also supported for measurement reports.</w:t>
      </w:r>
    </w:p>
    <w:p w14:paraId="3CB75F2C"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rsidRPr="0063403E">
        <w:t>5</w:t>
      </w:r>
      <w:r w:rsidRPr="0063403E">
        <w:tab/>
        <w:t>All LTE RRC messages are mapped to MCG SRB.</w:t>
      </w:r>
    </w:p>
    <w:p w14:paraId="61CAF220"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6</w:t>
      </w:r>
      <w:r>
        <w:tab/>
        <w:t>EN-DC can only be configured after security activation on LTE.</w:t>
      </w:r>
    </w:p>
    <w:p w14:paraId="009B97A2" w14:textId="0596946D" w:rsidR="00CA76C9" w:rsidRDefault="00CA76C9" w:rsidP="00CD4C7B"/>
    <w:p w14:paraId="7CC8CAAC" w14:textId="29657FD0" w:rsidR="00CA76C9" w:rsidRDefault="00CA76C9" w:rsidP="00CD4C7B">
      <w:r>
        <w:t>In addition, the following agreements were made related to the number, terminology for the SN SRB and SN failure handling cases:</w:t>
      </w:r>
    </w:p>
    <w:p w14:paraId="34E2731B" w14:textId="77777777" w:rsidR="008A7AA2" w:rsidRDefault="008A7AA2" w:rsidP="008A7AA2">
      <w:pPr>
        <w:pStyle w:val="Doc-text2"/>
        <w:pBdr>
          <w:top w:val="single" w:sz="4" w:space="1" w:color="auto"/>
          <w:left w:val="single" w:sz="4" w:space="4" w:color="auto"/>
          <w:bottom w:val="single" w:sz="4" w:space="1" w:color="auto"/>
          <w:right w:val="single" w:sz="4" w:space="4" w:color="auto"/>
        </w:pBdr>
      </w:pPr>
      <w:r>
        <w:t>Agreement</w:t>
      </w:r>
    </w:p>
    <w:p w14:paraId="6E66A261" w14:textId="77777777" w:rsidR="008A7AA2" w:rsidRDefault="008A7AA2" w:rsidP="008A7AA2">
      <w:pPr>
        <w:pStyle w:val="Doc-text2"/>
        <w:pBdr>
          <w:top w:val="single" w:sz="4" w:space="1" w:color="auto"/>
          <w:left w:val="single" w:sz="4" w:space="4" w:color="auto"/>
          <w:bottom w:val="single" w:sz="4" w:space="1" w:color="auto"/>
          <w:right w:val="single" w:sz="4" w:space="4" w:color="auto"/>
        </w:pBdr>
      </w:pPr>
      <w:r>
        <w:t>1</w:t>
      </w:r>
      <w:r>
        <w:tab/>
        <w:t>In NSA (for option 3, option 4, 7), MN RRC is used for MN connection control such as connection establishment and release, MN handovers for the UE.</w:t>
      </w:r>
    </w:p>
    <w:p w14:paraId="72705FB1" w14:textId="77777777" w:rsidR="008A7AA2" w:rsidRDefault="008A7AA2" w:rsidP="008A7AA2">
      <w:pPr>
        <w:pStyle w:val="Doc-text2"/>
        <w:pBdr>
          <w:top w:val="single" w:sz="4" w:space="1" w:color="auto"/>
          <w:left w:val="single" w:sz="4" w:space="4" w:color="auto"/>
          <w:bottom w:val="single" w:sz="4" w:space="1" w:color="auto"/>
          <w:right w:val="single" w:sz="4" w:space="4" w:color="auto"/>
        </w:pBdr>
      </w:pPr>
      <w:r>
        <w:t>2</w:t>
      </w:r>
      <w:r>
        <w:tab/>
        <w:t xml:space="preserve">In NSA </w:t>
      </w:r>
      <w:r w:rsidRPr="00443F8B">
        <w:t>(for option 3, option 4, 7</w:t>
      </w:r>
      <w:r>
        <w:t>), RRC parameters to configure NR PHY, NR MAC, NR RLC and NR PDPC are captured in the NR RRC specification.</w:t>
      </w:r>
    </w:p>
    <w:p w14:paraId="5C13FE43" w14:textId="77777777" w:rsidR="008A7AA2" w:rsidRDefault="008A7AA2" w:rsidP="008A7AA2">
      <w:pPr>
        <w:pStyle w:val="Doc-text2"/>
        <w:pBdr>
          <w:top w:val="single" w:sz="4" w:space="1" w:color="auto"/>
          <w:left w:val="single" w:sz="4" w:space="4" w:color="auto"/>
          <w:bottom w:val="single" w:sz="4" w:space="1" w:color="auto"/>
          <w:right w:val="single" w:sz="4" w:space="4" w:color="auto"/>
        </w:pBdr>
      </w:pPr>
      <w:r w:rsidRPr="00C27CBB">
        <w:rPr>
          <w:b/>
        </w:rPr>
        <w:t>FFS</w:t>
      </w:r>
      <w:r>
        <w:t xml:space="preserve"> whether the SCG configuration from the SN will be an </w:t>
      </w:r>
      <w:r w:rsidRPr="00443F8B">
        <w:t>RRCConnectionReconfiguration</w:t>
      </w:r>
      <w:r>
        <w:t xml:space="preserve"> or </w:t>
      </w:r>
      <w:r w:rsidRPr="00443F8B">
        <w:t>a new message (e.g. named “SCGConfigurationCommand”)</w:t>
      </w:r>
      <w:r>
        <w:t>. Can be considered when we have a better idea of the content of the messages.</w:t>
      </w:r>
    </w:p>
    <w:p w14:paraId="060E3F03" w14:textId="77777777" w:rsidR="008A7AA2" w:rsidRDefault="008A7AA2" w:rsidP="008A7AA2">
      <w:pPr>
        <w:pStyle w:val="Doc-text2"/>
        <w:pBdr>
          <w:top w:val="single" w:sz="4" w:space="1" w:color="auto"/>
          <w:left w:val="single" w:sz="4" w:space="4" w:color="auto"/>
          <w:bottom w:val="single" w:sz="4" w:space="1" w:color="auto"/>
          <w:right w:val="single" w:sz="4" w:space="4" w:color="auto"/>
        </w:pBdr>
      </w:pPr>
      <w:r w:rsidRPr="00C27CBB">
        <w:rPr>
          <w:b/>
        </w:rPr>
        <w:t>FFS</w:t>
      </w:r>
      <w:r>
        <w:t xml:space="preserve"> How to capture procedures for bearer configurations so that those are not split among different specifications</w:t>
      </w:r>
    </w:p>
    <w:p w14:paraId="06E907F2" w14:textId="3F6C93C7" w:rsidR="008A7AA2" w:rsidRDefault="008A7AA2" w:rsidP="00CD4C7B"/>
    <w:p w14:paraId="455D5769"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lastRenderedPageBreak/>
        <w:t>Agreement</w:t>
      </w:r>
    </w:p>
    <w:p w14:paraId="28EF1EDA"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rsidRPr="000E37C2">
        <w:t>1</w:t>
      </w:r>
      <w:r w:rsidRPr="000E37C2">
        <w:tab/>
        <w:t xml:space="preserve">For LTE-NR tight interworking where LTE is the MN </w:t>
      </w:r>
      <w:r>
        <w:t>with SCG SRB</w:t>
      </w:r>
      <w:r w:rsidRPr="000E37C2">
        <w:t xml:space="preserve"> configured, only </w:t>
      </w:r>
      <w:r>
        <w:t>one SRB is required on the SN side, and only for messages corresponding to SRB1.</w:t>
      </w:r>
    </w:p>
    <w:p w14:paraId="787F6483"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rsidRPr="00246194">
        <w:rPr>
          <w:b/>
        </w:rPr>
        <w:t>FFS</w:t>
      </w:r>
      <w:r>
        <w:t xml:space="preserve"> is anything additional is needed for SN failure cases.</w:t>
      </w:r>
    </w:p>
    <w:p w14:paraId="69F70A91" w14:textId="512CB098" w:rsidR="00CA76C9" w:rsidRDefault="00CA76C9" w:rsidP="00CD4C7B"/>
    <w:p w14:paraId="392334C6"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Agreements</w:t>
      </w:r>
    </w:p>
    <w:p w14:paraId="16AC6966"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1: SCG SRB is of higher scheduling priority than all DRBs.</w:t>
      </w:r>
    </w:p>
    <w:p w14:paraId="6F541CE2"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 xml:space="preserve">2: UE processes messages received on SCG SRB one message at a time in the order received at the RRC. (i.e. same rules as in LTE). </w:t>
      </w:r>
    </w:p>
    <w:p w14:paraId="08E4F81A"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t>3: There is no requirement on the UE to perform any reordering of RRC messages between MCG SRB and SCG SRB.</w:t>
      </w:r>
    </w:p>
    <w:p w14:paraId="530EA36F" w14:textId="77777777" w:rsidR="00CA76C9" w:rsidRDefault="00CA76C9" w:rsidP="00CA76C9">
      <w:pPr>
        <w:pStyle w:val="Doc-text2"/>
        <w:pBdr>
          <w:top w:val="single" w:sz="4" w:space="1" w:color="auto"/>
          <w:left w:val="single" w:sz="4" w:space="4" w:color="auto"/>
          <w:bottom w:val="single" w:sz="4" w:space="1" w:color="auto"/>
          <w:right w:val="single" w:sz="4" w:space="4" w:color="auto"/>
        </w:pBdr>
      </w:pPr>
      <w:r w:rsidRPr="00246194">
        <w:rPr>
          <w:b/>
        </w:rPr>
        <w:t>FFS</w:t>
      </w:r>
      <w:r>
        <w:t>: What terminology will be used to describe the SCG SRB.</w:t>
      </w:r>
    </w:p>
    <w:p w14:paraId="3E9CE521" w14:textId="270E5E0B" w:rsidR="008120A9" w:rsidRDefault="008120A9" w:rsidP="00CD4C7B"/>
    <w:p w14:paraId="787E1386" w14:textId="77777777" w:rsidR="008120A9" w:rsidRDefault="008120A9" w:rsidP="008120A9">
      <w:pPr>
        <w:pStyle w:val="Doc-text2"/>
        <w:pBdr>
          <w:top w:val="single" w:sz="4" w:space="1" w:color="auto"/>
          <w:left w:val="single" w:sz="4" w:space="4" w:color="auto"/>
          <w:bottom w:val="single" w:sz="4" w:space="1" w:color="auto"/>
          <w:right w:val="single" w:sz="4" w:space="4" w:color="auto"/>
        </w:pBdr>
      </w:pPr>
      <w:r>
        <w:t>Agreements:</w:t>
      </w:r>
    </w:p>
    <w:p w14:paraId="17BFE568" w14:textId="77777777" w:rsidR="008120A9" w:rsidRDefault="008120A9" w:rsidP="008120A9">
      <w:pPr>
        <w:pStyle w:val="Doc-text2"/>
        <w:pBdr>
          <w:top w:val="single" w:sz="4" w:space="1" w:color="auto"/>
          <w:left w:val="single" w:sz="4" w:space="4" w:color="auto"/>
          <w:bottom w:val="single" w:sz="4" w:space="1" w:color="auto"/>
          <w:right w:val="single" w:sz="4" w:space="4" w:color="auto"/>
        </w:pBdr>
      </w:pPr>
      <w:r>
        <w:t>1: In LTE-NR DC, following SgNB failure cases need to be supported:</w:t>
      </w:r>
    </w:p>
    <w:p w14:paraId="37D085A6" w14:textId="77777777" w:rsidR="008120A9" w:rsidRDefault="008120A9" w:rsidP="008120A9">
      <w:pPr>
        <w:pStyle w:val="Doc-text2"/>
        <w:pBdr>
          <w:top w:val="single" w:sz="4" w:space="1" w:color="auto"/>
          <w:left w:val="single" w:sz="4" w:space="4" w:color="auto"/>
          <w:bottom w:val="single" w:sz="4" w:space="1" w:color="auto"/>
          <w:right w:val="single" w:sz="4" w:space="4" w:color="auto"/>
        </w:pBdr>
      </w:pPr>
      <w:r>
        <w:t>-</w:t>
      </w:r>
      <w:r>
        <w:tab/>
      </w:r>
      <w:r w:rsidRPr="00376534">
        <w:t>SgNB RLF;</w:t>
      </w:r>
    </w:p>
    <w:p w14:paraId="55A3F3FD" w14:textId="77777777" w:rsidR="008120A9" w:rsidRDefault="008120A9" w:rsidP="008120A9">
      <w:pPr>
        <w:pStyle w:val="Doc-text2"/>
        <w:pBdr>
          <w:top w:val="single" w:sz="4" w:space="1" w:color="auto"/>
          <w:left w:val="single" w:sz="4" w:space="4" w:color="auto"/>
          <w:bottom w:val="single" w:sz="4" w:space="1" w:color="auto"/>
          <w:right w:val="single" w:sz="4" w:space="4" w:color="auto"/>
        </w:pBdr>
      </w:pPr>
      <w:r>
        <w:t>-</w:t>
      </w:r>
      <w:r>
        <w:tab/>
        <w:t>SgNB change failure;</w:t>
      </w:r>
    </w:p>
    <w:p w14:paraId="0DD42414" w14:textId="77777777" w:rsidR="008120A9" w:rsidRDefault="008120A9" w:rsidP="008120A9">
      <w:pPr>
        <w:pStyle w:val="Doc-text2"/>
        <w:pBdr>
          <w:top w:val="single" w:sz="4" w:space="1" w:color="auto"/>
          <w:left w:val="single" w:sz="4" w:space="4" w:color="auto"/>
          <w:bottom w:val="single" w:sz="4" w:space="1" w:color="auto"/>
          <w:right w:val="single" w:sz="4" w:space="4" w:color="auto"/>
        </w:pBdr>
      </w:pPr>
      <w:r>
        <w:t>-</w:t>
      </w:r>
      <w:r>
        <w:tab/>
        <w:t>exceeding the maximum uplink transmission timing difference (if EN-DC supports the synchronised operation case which is RAN1 decision);</w:t>
      </w:r>
    </w:p>
    <w:p w14:paraId="1E78CDB6" w14:textId="77777777" w:rsidR="008120A9" w:rsidRDefault="008120A9" w:rsidP="008120A9">
      <w:pPr>
        <w:pStyle w:val="Doc-text2"/>
        <w:pBdr>
          <w:top w:val="single" w:sz="4" w:space="1" w:color="auto"/>
          <w:left w:val="single" w:sz="4" w:space="4" w:color="auto"/>
          <w:bottom w:val="single" w:sz="4" w:space="1" w:color="auto"/>
          <w:right w:val="single" w:sz="4" w:space="4" w:color="auto"/>
        </w:pBdr>
      </w:pPr>
      <w:r>
        <w:t>-</w:t>
      </w:r>
      <w:r>
        <w:tab/>
        <w:t>SgNB configuration failure (only for message on SCG SRB);</w:t>
      </w:r>
    </w:p>
    <w:p w14:paraId="1B788CAC" w14:textId="77777777" w:rsidR="008120A9" w:rsidRDefault="008120A9" w:rsidP="008120A9">
      <w:pPr>
        <w:pStyle w:val="Doc-text2"/>
        <w:pBdr>
          <w:top w:val="single" w:sz="4" w:space="1" w:color="auto"/>
          <w:left w:val="single" w:sz="4" w:space="4" w:color="auto"/>
          <w:bottom w:val="single" w:sz="4" w:space="1" w:color="auto"/>
          <w:right w:val="single" w:sz="4" w:space="4" w:color="auto"/>
        </w:pBdr>
      </w:pPr>
      <w:r>
        <w:t>-</w:t>
      </w:r>
      <w:r>
        <w:tab/>
        <w:t>SgNB RRC integrity check failure;</w:t>
      </w:r>
    </w:p>
    <w:p w14:paraId="7AB955E2" w14:textId="77777777" w:rsidR="008120A9" w:rsidRDefault="008120A9" w:rsidP="008120A9">
      <w:pPr>
        <w:pStyle w:val="Doc-text2"/>
        <w:pBdr>
          <w:top w:val="single" w:sz="4" w:space="1" w:color="auto"/>
          <w:left w:val="single" w:sz="4" w:space="4" w:color="auto"/>
          <w:bottom w:val="single" w:sz="4" w:space="1" w:color="auto"/>
          <w:right w:val="single" w:sz="4" w:space="4" w:color="auto"/>
        </w:pBdr>
      </w:pPr>
      <w:r>
        <w:t>2: In LTE-NR DC, the UE shall report the SCGFailureInformation to the MeNB instead of triggering the reestablishment upon SgNB failure.</w:t>
      </w:r>
    </w:p>
    <w:p w14:paraId="3320B02B" w14:textId="77777777" w:rsidR="008120A9" w:rsidRDefault="008120A9" w:rsidP="008120A9">
      <w:pPr>
        <w:pStyle w:val="Doc-text2"/>
        <w:pBdr>
          <w:top w:val="single" w:sz="4" w:space="1" w:color="auto"/>
          <w:left w:val="single" w:sz="4" w:space="4" w:color="auto"/>
          <w:bottom w:val="single" w:sz="4" w:space="1" w:color="auto"/>
          <w:right w:val="single" w:sz="4" w:space="4" w:color="auto"/>
        </w:pBdr>
      </w:pPr>
      <w:r>
        <w:t xml:space="preserve">3: </w:t>
      </w:r>
      <w:r>
        <w:tab/>
        <w:t>Upon SgNB failures, UE shall:</w:t>
      </w:r>
    </w:p>
    <w:p w14:paraId="08133F36" w14:textId="77777777" w:rsidR="008120A9" w:rsidRDefault="008120A9" w:rsidP="008120A9">
      <w:pPr>
        <w:pStyle w:val="Doc-text2"/>
        <w:pBdr>
          <w:top w:val="single" w:sz="4" w:space="1" w:color="auto"/>
          <w:left w:val="single" w:sz="4" w:space="4" w:color="auto"/>
          <w:bottom w:val="single" w:sz="4" w:space="1" w:color="auto"/>
          <w:right w:val="single" w:sz="4" w:space="4" w:color="auto"/>
        </w:pBdr>
      </w:pPr>
      <w:r>
        <w:t>-</w:t>
      </w:r>
      <w:r>
        <w:tab/>
        <w:t>Suspend all SCG DRBs and suspend SCG transmission for MCG split DRBs, and SCG split DRBs;</w:t>
      </w:r>
    </w:p>
    <w:p w14:paraId="656CA912" w14:textId="77777777" w:rsidR="008120A9" w:rsidRDefault="008120A9" w:rsidP="008120A9">
      <w:pPr>
        <w:pStyle w:val="Doc-text2"/>
        <w:pBdr>
          <w:top w:val="single" w:sz="4" w:space="1" w:color="auto"/>
          <w:left w:val="single" w:sz="4" w:space="4" w:color="auto"/>
          <w:bottom w:val="single" w:sz="4" w:space="1" w:color="auto"/>
          <w:right w:val="single" w:sz="4" w:space="4" w:color="auto"/>
        </w:pBdr>
      </w:pPr>
      <w:r>
        <w:t>-</w:t>
      </w:r>
      <w:r>
        <w:tab/>
        <w:t>Suspend direct SCG SRB and SCG transmission for MCG split SRB;</w:t>
      </w:r>
    </w:p>
    <w:p w14:paraId="149F090F" w14:textId="77777777" w:rsidR="008120A9" w:rsidRDefault="008120A9" w:rsidP="008120A9">
      <w:pPr>
        <w:pStyle w:val="Doc-text2"/>
        <w:pBdr>
          <w:top w:val="single" w:sz="4" w:space="1" w:color="auto"/>
          <w:left w:val="single" w:sz="4" w:space="4" w:color="auto"/>
          <w:bottom w:val="single" w:sz="4" w:space="1" w:color="auto"/>
          <w:right w:val="single" w:sz="4" w:space="4" w:color="auto"/>
        </w:pBdr>
      </w:pPr>
      <w:r>
        <w:t>-</w:t>
      </w:r>
      <w:r>
        <w:tab/>
        <w:t>Reset SCG-MAC;</w:t>
      </w:r>
    </w:p>
    <w:p w14:paraId="342B3F0B" w14:textId="77777777" w:rsidR="008120A9" w:rsidRPr="00B62011" w:rsidRDefault="008120A9" w:rsidP="008120A9">
      <w:pPr>
        <w:pStyle w:val="Doc-text2"/>
        <w:pBdr>
          <w:top w:val="single" w:sz="4" w:space="1" w:color="auto"/>
          <w:left w:val="single" w:sz="4" w:space="4" w:color="auto"/>
          <w:bottom w:val="single" w:sz="4" w:space="1" w:color="auto"/>
          <w:right w:val="single" w:sz="4" w:space="4" w:color="auto"/>
        </w:pBdr>
      </w:pPr>
      <w:r>
        <w:t>-</w:t>
      </w:r>
      <w:r>
        <w:tab/>
        <w:t>send the SCGFailureInformation message to the MeNB with corresponding cause values .</w:t>
      </w:r>
    </w:p>
    <w:p w14:paraId="6D3A8145" w14:textId="0C5F3E7F" w:rsidR="008120A9" w:rsidRDefault="008120A9" w:rsidP="00CD4C7B"/>
    <w:p w14:paraId="747C7B65" w14:textId="77777777" w:rsidR="008120A9" w:rsidRDefault="008120A9" w:rsidP="008120A9">
      <w:pPr>
        <w:pStyle w:val="Doc-text2"/>
        <w:pBdr>
          <w:top w:val="single" w:sz="4" w:space="1" w:color="auto"/>
          <w:left w:val="single" w:sz="4" w:space="4" w:color="auto"/>
          <w:bottom w:val="single" w:sz="4" w:space="1" w:color="auto"/>
          <w:right w:val="single" w:sz="4" w:space="4" w:color="auto"/>
        </w:pBdr>
      </w:pPr>
      <w:r>
        <w:t>Agreement:</w:t>
      </w:r>
    </w:p>
    <w:p w14:paraId="6696C6F4" w14:textId="69EAE682" w:rsidR="008120A9" w:rsidRDefault="008120A9" w:rsidP="008120A9">
      <w:pPr>
        <w:pStyle w:val="Doc-text2"/>
        <w:pBdr>
          <w:top w:val="single" w:sz="4" w:space="1" w:color="auto"/>
          <w:left w:val="single" w:sz="4" w:space="4" w:color="auto"/>
          <w:bottom w:val="single" w:sz="4" w:space="1" w:color="auto"/>
          <w:right w:val="single" w:sz="4" w:space="4" w:color="auto"/>
        </w:pBdr>
      </w:pPr>
      <w:r>
        <w:t xml:space="preserve">Working assumption (SCG integrity protection failure case is to be confirmed after SA3 response): </w:t>
      </w:r>
      <w:r w:rsidRPr="004368EB">
        <w:t xml:space="preserve">At </w:t>
      </w:r>
      <w:r>
        <w:t>SCG</w:t>
      </w:r>
      <w:r w:rsidRPr="004368EB">
        <w:t xml:space="preserve"> failure</w:t>
      </w:r>
      <w:r>
        <w:t xml:space="preserve"> (all cases) </w:t>
      </w:r>
      <w:r w:rsidRPr="004368EB">
        <w:t>only the</w:t>
      </w:r>
      <w:r>
        <w:t xml:space="preserve"> SCG part of MCG/SCG split bearers </w:t>
      </w:r>
      <w:r w:rsidRPr="004368EB">
        <w:t>should be suspended.</w:t>
      </w:r>
      <w:r>
        <w:t xml:space="preserve"> (Already agreed for the SCG bearer and the SCG SRB)</w:t>
      </w:r>
    </w:p>
    <w:p w14:paraId="3CED3E51" w14:textId="77777777" w:rsidR="008120A9" w:rsidRDefault="008120A9" w:rsidP="00CD4C7B"/>
    <w:p w14:paraId="338B063F" w14:textId="532E2EBE" w:rsidR="00CA76C9" w:rsidRPr="006E13D1" w:rsidRDefault="00CA76C9" w:rsidP="00CD4C7B">
      <w:r>
        <w:t>In this discussion paper, we will discuss our views on how to solve the FFS aspects.</w:t>
      </w:r>
    </w:p>
    <w:p w14:paraId="127ACA6D" w14:textId="63515FF5" w:rsidR="00CD4C7B" w:rsidRDefault="00CD4C7B" w:rsidP="00CD4C7B">
      <w:pPr>
        <w:pStyle w:val="Heading1"/>
      </w:pPr>
      <w:r w:rsidRPr="006E13D1">
        <w:t>2</w:t>
      </w:r>
      <w:r w:rsidRPr="006E13D1">
        <w:tab/>
      </w:r>
      <w:r w:rsidR="0039385B">
        <w:t>Discussion</w:t>
      </w:r>
    </w:p>
    <w:p w14:paraId="361BD967" w14:textId="77777777" w:rsidR="0039385B" w:rsidRDefault="0039385B" w:rsidP="0039385B">
      <w:pPr>
        <w:pStyle w:val="Doc-text2"/>
        <w:pBdr>
          <w:top w:val="single" w:sz="4" w:space="1" w:color="auto"/>
          <w:left w:val="single" w:sz="4" w:space="4" w:color="auto"/>
          <w:bottom w:val="single" w:sz="4" w:space="1" w:color="auto"/>
          <w:right w:val="single" w:sz="4" w:space="4" w:color="auto"/>
        </w:pBdr>
      </w:pPr>
      <w:r w:rsidRPr="00246194">
        <w:rPr>
          <w:b/>
        </w:rPr>
        <w:t>FFS</w:t>
      </w:r>
      <w:r>
        <w:t xml:space="preserve"> Whether the MN can request establishment of SCG SRB</w:t>
      </w:r>
    </w:p>
    <w:p w14:paraId="0D7E01E8" w14:textId="4D944CE7" w:rsidR="0039385B" w:rsidRDefault="0039385B" w:rsidP="0039385B"/>
    <w:p w14:paraId="4D57127C" w14:textId="4599B2FE" w:rsidR="005253A7" w:rsidRPr="0039385B" w:rsidRDefault="005253A7" w:rsidP="0039385B">
      <w:r>
        <w:t>To discuss the FFS aspect above, the fol</w:t>
      </w:r>
      <w:r w:rsidR="00BD7AAE">
        <w:t>lowing scenario</w:t>
      </w:r>
      <w:r>
        <w:t xml:space="preserve"> for SCG SRB addition </w:t>
      </w:r>
      <w:r w:rsidR="00BD7AAE">
        <w:t>is</w:t>
      </w:r>
      <w:r>
        <w:t xml:space="preserve"> shown below.</w:t>
      </w:r>
    </w:p>
    <w:p w14:paraId="1E71E7FC" w14:textId="7E1C1BAA" w:rsidR="0039385B" w:rsidRPr="006E13D1" w:rsidRDefault="0039385B" w:rsidP="0039385B">
      <w:pPr>
        <w:jc w:val="center"/>
      </w:pPr>
      <w:r w:rsidRPr="005132EF">
        <w:object w:dxaOrig="6066" w:dyaOrig="3707" w14:anchorId="22C49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3pt;height:156pt" o:ole="">
            <v:imagedata r:id="rId12" o:title=""/>
          </v:shape>
          <o:OLEObject Type="Embed" ProgID="Visio.Drawing.11" ShapeID="_x0000_i1025" DrawAspect="Content" ObjectID="_1559204635" r:id="rId13"/>
        </w:object>
      </w:r>
    </w:p>
    <w:p w14:paraId="12DD6FAA" w14:textId="35F1DF94" w:rsidR="0039385B" w:rsidRDefault="0039385B" w:rsidP="0039385B">
      <w:pPr>
        <w:pStyle w:val="TF"/>
      </w:pPr>
      <w:r w:rsidRPr="006E13D1">
        <w:t xml:space="preserve">Figure </w:t>
      </w:r>
      <w:r>
        <w:t>2-1</w:t>
      </w:r>
      <w:r w:rsidRPr="006E13D1">
        <w:t xml:space="preserve">: </w:t>
      </w:r>
      <w:r>
        <w:t>SCG SRB establishment during SgNB addition</w:t>
      </w:r>
    </w:p>
    <w:p w14:paraId="1A205066" w14:textId="0ADC6B9B" w:rsidR="005253A7" w:rsidRDefault="0039385B" w:rsidP="0039385B">
      <w:pPr>
        <w:pStyle w:val="TF"/>
        <w:jc w:val="left"/>
        <w:rPr>
          <w:rFonts w:ascii="Times New Roman" w:hAnsi="Times New Roman"/>
          <w:b w:val="0"/>
        </w:rPr>
      </w:pPr>
      <w:r>
        <w:rPr>
          <w:rFonts w:ascii="Times New Roman" w:hAnsi="Times New Roman"/>
          <w:b w:val="0"/>
        </w:rPr>
        <w:t xml:space="preserve">Figure 2-1 describes the establishment of </w:t>
      </w:r>
      <w:r w:rsidR="005253A7">
        <w:rPr>
          <w:rFonts w:ascii="Times New Roman" w:hAnsi="Times New Roman"/>
          <w:b w:val="0"/>
        </w:rPr>
        <w:t>SCG SRB</w:t>
      </w:r>
      <w:r>
        <w:rPr>
          <w:rFonts w:ascii="Times New Roman" w:hAnsi="Times New Roman"/>
          <w:b w:val="0"/>
        </w:rPr>
        <w:t xml:space="preserve">. It is assumed in this scenario that the </w:t>
      </w:r>
      <w:r w:rsidR="005253A7">
        <w:rPr>
          <w:rFonts w:ascii="Times New Roman" w:hAnsi="Times New Roman"/>
          <w:b w:val="0"/>
        </w:rPr>
        <w:t xml:space="preserve">SCG SRB </w:t>
      </w:r>
      <w:r>
        <w:rPr>
          <w:rFonts w:ascii="Times New Roman" w:hAnsi="Times New Roman"/>
          <w:b w:val="0"/>
        </w:rPr>
        <w:t>may be establ</w:t>
      </w:r>
      <w:r w:rsidR="005253A7">
        <w:rPr>
          <w:rFonts w:ascii="Times New Roman" w:hAnsi="Times New Roman"/>
          <w:b w:val="0"/>
        </w:rPr>
        <w:t xml:space="preserve">ished by the </w:t>
      </w:r>
      <w:r w:rsidR="00737753">
        <w:rPr>
          <w:rFonts w:ascii="Times New Roman" w:hAnsi="Times New Roman"/>
          <w:b w:val="0"/>
        </w:rPr>
        <w:t>SN</w:t>
      </w:r>
      <w:r w:rsidR="005253A7">
        <w:rPr>
          <w:rFonts w:ascii="Times New Roman" w:hAnsi="Times New Roman"/>
          <w:b w:val="0"/>
        </w:rPr>
        <w:t xml:space="preserve"> </w:t>
      </w:r>
      <w:r w:rsidR="00737753">
        <w:rPr>
          <w:rFonts w:ascii="Times New Roman" w:hAnsi="Times New Roman"/>
          <w:b w:val="0"/>
        </w:rPr>
        <w:t>by knowing the</w:t>
      </w:r>
      <w:r w:rsidR="005253A7">
        <w:rPr>
          <w:rFonts w:ascii="Times New Roman" w:hAnsi="Times New Roman"/>
          <w:b w:val="0"/>
        </w:rPr>
        <w:t xml:space="preserve"> </w:t>
      </w:r>
      <w:r w:rsidR="00737753">
        <w:rPr>
          <w:rFonts w:ascii="Times New Roman" w:hAnsi="Times New Roman"/>
          <w:b w:val="0"/>
        </w:rPr>
        <w:t>E</w:t>
      </w:r>
      <w:r w:rsidR="005253A7">
        <w:rPr>
          <w:rFonts w:ascii="Times New Roman" w:hAnsi="Times New Roman"/>
          <w:b w:val="0"/>
        </w:rPr>
        <w:t xml:space="preserve">N-DC </w:t>
      </w:r>
      <w:r w:rsidR="00737753">
        <w:rPr>
          <w:rFonts w:ascii="Times New Roman" w:hAnsi="Times New Roman"/>
          <w:b w:val="0"/>
        </w:rPr>
        <w:t>UE capability, hence the SN</w:t>
      </w:r>
      <w:r w:rsidR="005253A7">
        <w:rPr>
          <w:rFonts w:ascii="Times New Roman" w:hAnsi="Times New Roman"/>
          <w:b w:val="0"/>
        </w:rPr>
        <w:t xml:space="preserve"> would explicitly send the configuration </w:t>
      </w:r>
      <w:r w:rsidR="00737753">
        <w:rPr>
          <w:rFonts w:ascii="Times New Roman" w:hAnsi="Times New Roman"/>
          <w:b w:val="0"/>
        </w:rPr>
        <w:t>during SgNB addition.</w:t>
      </w:r>
    </w:p>
    <w:tbl>
      <w:tblPr>
        <w:tblStyle w:val="TableGrid"/>
        <w:tblW w:w="0" w:type="auto"/>
        <w:tblLook w:val="04A0" w:firstRow="1" w:lastRow="0" w:firstColumn="1" w:lastColumn="0" w:noHBand="0" w:noVBand="1"/>
      </w:tblPr>
      <w:tblGrid>
        <w:gridCol w:w="9631"/>
      </w:tblGrid>
      <w:tr w:rsidR="00737753" w14:paraId="228347B0" w14:textId="77777777" w:rsidTr="00737753">
        <w:tc>
          <w:tcPr>
            <w:tcW w:w="9631" w:type="dxa"/>
          </w:tcPr>
          <w:p w14:paraId="2161F56B" w14:textId="77777777" w:rsidR="00737753" w:rsidRDefault="00737753" w:rsidP="00737753">
            <w:pPr>
              <w:pStyle w:val="B1"/>
              <w:rPr>
                <w:lang w:val="en-US" w:eastAsia="ja-JP"/>
              </w:rPr>
            </w:pPr>
            <w:r>
              <w:rPr>
                <w:lang w:val="en-US" w:eastAsia="ja-JP"/>
              </w:rPr>
              <w:t>3.</w:t>
            </w:r>
            <w:r>
              <w:rPr>
                <w:lang w:val="en-US" w:eastAsia="ja-JP"/>
              </w:rPr>
              <w:tab/>
            </w:r>
            <w:r w:rsidRPr="00F750BA">
              <w:rPr>
                <w:lang w:val="en-US" w:eastAsia="ja-JP"/>
              </w:rPr>
              <w:t>Capability dependency between LTE and NR.</w:t>
            </w:r>
          </w:p>
          <w:p w14:paraId="4610D27A" w14:textId="77777777" w:rsidR="00737753" w:rsidRDefault="00737753" w:rsidP="00737753">
            <w:pPr>
              <w:pStyle w:val="B2"/>
              <w:rPr>
                <w:lang w:val="en-US" w:eastAsia="ja-JP"/>
              </w:rPr>
            </w:pPr>
            <w:r>
              <w:rPr>
                <w:lang w:val="en-US" w:eastAsia="ja-JP"/>
              </w:rPr>
              <w:t>-</w:t>
            </w:r>
            <w:r>
              <w:rPr>
                <w:lang w:val="en-US" w:eastAsia="ja-JP"/>
              </w:rPr>
              <w:tab/>
            </w:r>
            <w:r w:rsidRPr="00737753">
              <w:rPr>
                <w:b/>
                <w:lang w:val="en-US" w:eastAsia="ja-JP"/>
              </w:rPr>
              <w:t>Type I capabilities</w:t>
            </w:r>
            <w:r>
              <w:rPr>
                <w:lang w:val="en-US" w:eastAsia="ja-JP"/>
              </w:rPr>
              <w:t>:</w:t>
            </w:r>
            <w:r>
              <w:rPr>
                <w:lang w:val="en-US" w:eastAsia="ja-JP"/>
              </w:rPr>
              <w:tab/>
            </w:r>
            <w:r w:rsidRPr="00B11D4F">
              <w:rPr>
                <w:lang w:val="en-US" w:eastAsia="ja-JP"/>
              </w:rPr>
              <w:t>The use of the capability is isolated to the RAT.</w:t>
            </w:r>
          </w:p>
          <w:p w14:paraId="0E676C8A" w14:textId="77777777" w:rsidR="00737753" w:rsidRDefault="00737753" w:rsidP="00737753">
            <w:pPr>
              <w:pStyle w:val="B2"/>
              <w:rPr>
                <w:lang w:val="en-US" w:eastAsia="ja-JP"/>
              </w:rPr>
            </w:pPr>
            <w:r>
              <w:rPr>
                <w:lang w:val="en-US" w:eastAsia="ja-JP"/>
              </w:rPr>
              <w:t>-</w:t>
            </w:r>
            <w:r>
              <w:rPr>
                <w:lang w:val="en-US" w:eastAsia="ja-JP"/>
              </w:rPr>
              <w:tab/>
              <w:t>Type II capabilities:</w:t>
            </w:r>
            <w:r>
              <w:rPr>
                <w:lang w:val="en-US" w:eastAsia="ja-JP"/>
              </w:rPr>
              <w:tab/>
              <w:t>T</w:t>
            </w:r>
            <w:r w:rsidRPr="001A20FA">
              <w:rPr>
                <w:lang w:val="en-US" w:eastAsia="ja-JP"/>
              </w:rPr>
              <w:t>he use of the capability in one R</w:t>
            </w:r>
            <w:r>
              <w:rPr>
                <w:lang w:val="en-US" w:eastAsia="ja-JP"/>
              </w:rPr>
              <w:t xml:space="preserve">AT has impacts to the other RAT but is not </w:t>
            </w:r>
            <w:r w:rsidRPr="001A20FA">
              <w:rPr>
                <w:lang w:val="en-US" w:eastAsia="ja-JP"/>
              </w:rPr>
              <w:t>understood by the NW side of the other RAT</w:t>
            </w:r>
            <w:r>
              <w:rPr>
                <w:lang w:val="en-US" w:eastAsia="ja-JP"/>
              </w:rPr>
              <w:t>.</w:t>
            </w:r>
          </w:p>
          <w:p w14:paraId="182A1C10" w14:textId="0CFAF16B" w:rsidR="00737753" w:rsidRPr="00737753" w:rsidRDefault="00737753" w:rsidP="00737753">
            <w:pPr>
              <w:pStyle w:val="B2"/>
              <w:rPr>
                <w:lang w:val="en-US" w:eastAsia="ja-JP"/>
              </w:rPr>
            </w:pPr>
            <w:r>
              <w:rPr>
                <w:lang w:val="en-US" w:eastAsia="ja-JP"/>
              </w:rPr>
              <w:t>-</w:t>
            </w:r>
            <w:r>
              <w:rPr>
                <w:lang w:val="en-US" w:eastAsia="ja-JP"/>
              </w:rPr>
              <w:tab/>
              <w:t>Type III capabilities:</w:t>
            </w:r>
            <w:r>
              <w:rPr>
                <w:lang w:val="en-US" w:eastAsia="ja-JP"/>
              </w:rPr>
              <w:tab/>
              <w:t>T</w:t>
            </w:r>
            <w:r w:rsidRPr="001A20FA">
              <w:rPr>
                <w:lang w:val="en-US" w:eastAsia="ja-JP"/>
              </w:rPr>
              <w:t>he use of the capability in one RAT has impact</w:t>
            </w:r>
            <w:r>
              <w:rPr>
                <w:lang w:val="en-US" w:eastAsia="ja-JP"/>
              </w:rPr>
              <w:t>s</w:t>
            </w:r>
            <w:r w:rsidRPr="001A20FA">
              <w:rPr>
                <w:lang w:val="en-US" w:eastAsia="ja-JP"/>
              </w:rPr>
              <w:t xml:space="preserve"> to the othe</w:t>
            </w:r>
            <w:r>
              <w:rPr>
                <w:lang w:val="en-US" w:eastAsia="ja-JP"/>
              </w:rPr>
              <w:t>r RAT and</w:t>
            </w:r>
            <w:r w:rsidRPr="001A20FA">
              <w:rPr>
                <w:lang w:val="en-US" w:eastAsia="ja-JP"/>
              </w:rPr>
              <w:t xml:space="preserve"> is understood by the NW side of the other RAT</w:t>
            </w:r>
            <w:r>
              <w:rPr>
                <w:lang w:val="en-US" w:eastAsia="ja-JP"/>
              </w:rPr>
              <w:t>.</w:t>
            </w:r>
          </w:p>
        </w:tc>
      </w:tr>
    </w:tbl>
    <w:p w14:paraId="3193F718" w14:textId="18BF195F" w:rsidR="00737753" w:rsidRDefault="00737753" w:rsidP="001B49C9">
      <w:pPr>
        <w:rPr>
          <w:b/>
        </w:rPr>
      </w:pPr>
    </w:p>
    <w:p w14:paraId="763D1A90" w14:textId="46F99201" w:rsidR="00737753" w:rsidRDefault="00572105" w:rsidP="001B49C9">
      <w:pPr>
        <w:rPr>
          <w:b/>
        </w:rPr>
      </w:pPr>
      <w:r>
        <w:t>Since</w:t>
      </w:r>
      <w:r w:rsidR="00737753">
        <w:t xml:space="preserve"> Type I capabilities do not need any negotiation between MN and SN, the </w:t>
      </w:r>
      <w:r>
        <w:t xml:space="preserve">responsibility of decision to configure </w:t>
      </w:r>
      <w:r w:rsidR="00737753">
        <w:t xml:space="preserve">SCG SRB </w:t>
      </w:r>
      <w:r>
        <w:t>is always at the</w:t>
      </w:r>
      <w:r w:rsidR="0017428D">
        <w:t xml:space="preserve"> SN as agreed during last meeting.</w:t>
      </w:r>
    </w:p>
    <w:p w14:paraId="27A9FEA0" w14:textId="253AE865" w:rsidR="00572105" w:rsidRDefault="00572105" w:rsidP="001B49C9">
      <w:pPr>
        <w:rPr>
          <w:b/>
        </w:rPr>
      </w:pPr>
      <w:r>
        <w:rPr>
          <w:b/>
        </w:rPr>
        <w:t xml:space="preserve">Proposal </w:t>
      </w:r>
      <w:r w:rsidR="0017428D">
        <w:rPr>
          <w:b/>
        </w:rPr>
        <w:t>1</w:t>
      </w:r>
      <w:r>
        <w:rPr>
          <w:b/>
        </w:rPr>
        <w:t xml:space="preserve">: SCG SRB is </w:t>
      </w:r>
      <w:r w:rsidR="008120A9">
        <w:rPr>
          <w:b/>
        </w:rPr>
        <w:t xml:space="preserve">always </w:t>
      </w:r>
      <w:r>
        <w:rPr>
          <w:b/>
        </w:rPr>
        <w:t>configured by default during the initial SgNB addition.</w:t>
      </w:r>
    </w:p>
    <w:p w14:paraId="674D5962" w14:textId="6A646B38" w:rsidR="008D394B" w:rsidRPr="008D394B" w:rsidRDefault="008D394B" w:rsidP="001B49C9">
      <w:r>
        <w:t>It is rather safe to assume that if the SN cannot allocate the SCG SRB configuration, then SgNB addition procedure must be considered a failure.</w:t>
      </w:r>
    </w:p>
    <w:p w14:paraId="6DE340E2" w14:textId="3256A96D" w:rsidR="00BD7AAE" w:rsidRDefault="00BD7AAE" w:rsidP="001B49C9">
      <w:pPr>
        <w:rPr>
          <w:b/>
        </w:rPr>
      </w:pPr>
      <w:r>
        <w:rPr>
          <w:b/>
        </w:rPr>
        <w:t xml:space="preserve">Proposal </w:t>
      </w:r>
      <w:r w:rsidR="0017428D">
        <w:rPr>
          <w:b/>
        </w:rPr>
        <w:t>2</w:t>
      </w:r>
      <w:r>
        <w:rPr>
          <w:b/>
        </w:rPr>
        <w:t>: SgNB addition procedure is considered failed if SN cannot allocate SCG SRB.</w:t>
      </w:r>
    </w:p>
    <w:p w14:paraId="1F6545BB" w14:textId="313A99AB" w:rsidR="008D394B" w:rsidRDefault="008D394B" w:rsidP="001B49C9">
      <w:pPr>
        <w:rPr>
          <w:b/>
        </w:rPr>
      </w:pPr>
      <w:r>
        <w:t>The SN must be allowed to update the configuration of the SCG SRB and then the reconfiguration could be performed using the SCG SRB.</w:t>
      </w:r>
    </w:p>
    <w:p w14:paraId="05EB0321" w14:textId="29724246" w:rsidR="00572105" w:rsidRDefault="00572105" w:rsidP="001B49C9">
      <w:pPr>
        <w:rPr>
          <w:b/>
        </w:rPr>
      </w:pPr>
      <w:r>
        <w:rPr>
          <w:b/>
        </w:rPr>
        <w:t xml:space="preserve">Proposal </w:t>
      </w:r>
      <w:r w:rsidR="0017428D">
        <w:rPr>
          <w:b/>
        </w:rPr>
        <w:t>3</w:t>
      </w:r>
      <w:r>
        <w:rPr>
          <w:b/>
        </w:rPr>
        <w:t xml:space="preserve">: SCG SRB </w:t>
      </w:r>
      <w:r w:rsidR="00127224">
        <w:rPr>
          <w:b/>
        </w:rPr>
        <w:t xml:space="preserve">may be </w:t>
      </w:r>
      <w:r>
        <w:rPr>
          <w:b/>
        </w:rPr>
        <w:t>reconfigured</w:t>
      </w:r>
      <w:r w:rsidR="00127224">
        <w:rPr>
          <w:b/>
        </w:rPr>
        <w:t xml:space="preserve"> by the SN</w:t>
      </w:r>
      <w:r>
        <w:rPr>
          <w:b/>
        </w:rPr>
        <w:t xml:space="preserve"> using the </w:t>
      </w:r>
      <w:r w:rsidRPr="00572105">
        <w:rPr>
          <w:b/>
        </w:rPr>
        <w:t>RRCConnectionReconfiguration</w:t>
      </w:r>
      <w:r>
        <w:rPr>
          <w:b/>
        </w:rPr>
        <w:t xml:space="preserve"> transmitted on the SCG SRB.</w:t>
      </w:r>
      <w:r w:rsidRPr="00572105">
        <w:rPr>
          <w:b/>
        </w:rPr>
        <w:t xml:space="preserve"> </w:t>
      </w:r>
    </w:p>
    <w:p w14:paraId="08720B81" w14:textId="289AEBD2" w:rsidR="00EC79C8" w:rsidRPr="00EC79C8" w:rsidRDefault="00EC79C8" w:rsidP="00755F63">
      <w:r w:rsidRPr="00EC79C8">
        <w:t>We now progress to the topic of discussing the formatting of the NR RRC PDU in the LTE/NR DC operation.</w:t>
      </w:r>
    </w:p>
    <w:p w14:paraId="22AD255B" w14:textId="77777777" w:rsidR="00EC79C8" w:rsidRDefault="00EC79C8" w:rsidP="00EC79C8">
      <w:pPr>
        <w:pStyle w:val="Doc-text2"/>
        <w:pBdr>
          <w:top w:val="single" w:sz="4" w:space="1" w:color="auto"/>
          <w:left w:val="single" w:sz="4" w:space="4" w:color="auto"/>
          <w:bottom w:val="single" w:sz="4" w:space="1" w:color="auto"/>
          <w:right w:val="single" w:sz="4" w:space="4" w:color="auto"/>
        </w:pBdr>
      </w:pPr>
      <w:r w:rsidRPr="00C27CBB">
        <w:rPr>
          <w:b/>
        </w:rPr>
        <w:t>FFS</w:t>
      </w:r>
      <w:r>
        <w:t xml:space="preserve"> whether the SCG configuration from the SN will be an </w:t>
      </w:r>
      <w:r w:rsidRPr="00443F8B">
        <w:t>RRCConnectionReconfiguration</w:t>
      </w:r>
      <w:r>
        <w:t xml:space="preserve"> or </w:t>
      </w:r>
      <w:r w:rsidRPr="00443F8B">
        <w:t>a new message (e.g. named “SCGConfigurationCommand”)</w:t>
      </w:r>
      <w:r>
        <w:t>. Can be considered when we have a better idea of the content of the messages.</w:t>
      </w:r>
    </w:p>
    <w:p w14:paraId="677ECE47" w14:textId="77777777" w:rsidR="00EC79C8" w:rsidRDefault="00EC79C8" w:rsidP="00EC79C8">
      <w:pPr>
        <w:pStyle w:val="Doc-text2"/>
        <w:pBdr>
          <w:top w:val="single" w:sz="4" w:space="1" w:color="auto"/>
          <w:left w:val="single" w:sz="4" w:space="4" w:color="auto"/>
          <w:bottom w:val="single" w:sz="4" w:space="1" w:color="auto"/>
          <w:right w:val="single" w:sz="4" w:space="4" w:color="auto"/>
        </w:pBdr>
      </w:pPr>
      <w:r w:rsidRPr="00C27CBB">
        <w:rPr>
          <w:b/>
        </w:rPr>
        <w:t>FFS</w:t>
      </w:r>
      <w:r>
        <w:t xml:space="preserve"> How to capture procedures for bearer configurations so that those are not split among different specifications</w:t>
      </w:r>
    </w:p>
    <w:p w14:paraId="5A55A523" w14:textId="2226A5EB" w:rsidR="00EC79C8" w:rsidRDefault="00EC79C8" w:rsidP="00755F63">
      <w:pPr>
        <w:rPr>
          <w:b/>
        </w:rPr>
      </w:pPr>
    </w:p>
    <w:p w14:paraId="1806DEF3" w14:textId="58EED956" w:rsidR="00171748" w:rsidRDefault="00171748" w:rsidP="00755F63">
      <w:r>
        <w:t>There are mainly 4 cases; MN message containing LTE only configuration, MN message containing LTE + NR configuration, MN message containing NR only configuration and SN message containing SCG only configuration. If we take a set of combinations of these cases, there are several cases where:</w:t>
      </w:r>
    </w:p>
    <w:p w14:paraId="20742E59" w14:textId="3053D6DA" w:rsidR="00171748" w:rsidRDefault="00171748" w:rsidP="00171748">
      <w:pPr>
        <w:pStyle w:val="ListParagraph"/>
        <w:numPr>
          <w:ilvl w:val="0"/>
          <w:numId w:val="6"/>
        </w:numPr>
      </w:pPr>
      <w:r>
        <w:t>SN message containing SCG only configuration may be delivered to the UE before the MN message containing LTE + NR configuration is delivered</w:t>
      </w:r>
    </w:p>
    <w:p w14:paraId="7B409B7D" w14:textId="4A54040A" w:rsidR="00171748" w:rsidRPr="00171748" w:rsidRDefault="00171748" w:rsidP="00171748">
      <w:pPr>
        <w:pStyle w:val="ListParagraph"/>
        <w:numPr>
          <w:ilvl w:val="0"/>
          <w:numId w:val="6"/>
        </w:numPr>
      </w:pPr>
      <w:r>
        <w:lastRenderedPageBreak/>
        <w:t>SN message containing SCG only configuration may be delivered to the UE before MN message containing NR only configuration is delivered</w:t>
      </w:r>
    </w:p>
    <w:p w14:paraId="3B747578" w14:textId="7E4CB5BF" w:rsidR="00171748" w:rsidRDefault="003837EC" w:rsidP="00755F63">
      <w:pPr>
        <w:rPr>
          <w:b/>
        </w:rPr>
      </w:pPr>
      <w:r>
        <w:t>The</w:t>
      </w:r>
      <w:r w:rsidR="00171748">
        <w:t xml:space="preserve"> UE is not responsible for tra</w:t>
      </w:r>
      <w:r>
        <w:t>cking the order of the messages and neither reordering them. But the UE will need to distinguish one transaction from the other and the network will need to know the transaction identifier for failure handling. Hence, we propose:</w:t>
      </w:r>
    </w:p>
    <w:p w14:paraId="1CEC42B2" w14:textId="0C1E59CF" w:rsidR="00580147" w:rsidRDefault="00EC79C8" w:rsidP="00755F63">
      <w:pPr>
        <w:rPr>
          <w:b/>
        </w:rPr>
      </w:pPr>
      <w:r>
        <w:rPr>
          <w:b/>
        </w:rPr>
        <w:t xml:space="preserve">Proposal </w:t>
      </w:r>
      <w:r w:rsidR="008120A9">
        <w:rPr>
          <w:b/>
        </w:rPr>
        <w:t>4</w:t>
      </w:r>
      <w:r>
        <w:rPr>
          <w:b/>
        </w:rPr>
        <w:t>:</w:t>
      </w:r>
      <w:r w:rsidR="003837EC">
        <w:rPr>
          <w:b/>
        </w:rPr>
        <w:t xml:space="preserve"> The SN RRC PDU contains a transaction identifier. </w:t>
      </w:r>
    </w:p>
    <w:p w14:paraId="1729F26E" w14:textId="77777777" w:rsidR="009343AE" w:rsidRDefault="009343AE" w:rsidP="009343AE">
      <w:pPr>
        <w:pStyle w:val="Doc-text2"/>
        <w:pBdr>
          <w:top w:val="single" w:sz="4" w:space="1" w:color="auto"/>
          <w:left w:val="single" w:sz="4" w:space="4" w:color="auto"/>
          <w:bottom w:val="single" w:sz="4" w:space="1" w:color="auto"/>
          <w:right w:val="single" w:sz="4" w:space="4" w:color="auto"/>
        </w:pBdr>
      </w:pPr>
      <w:r>
        <w:t>Agreement</w:t>
      </w:r>
    </w:p>
    <w:p w14:paraId="3F4618FD" w14:textId="77777777" w:rsidR="009343AE" w:rsidRDefault="009343AE" w:rsidP="009343AE">
      <w:pPr>
        <w:pStyle w:val="Doc-text2"/>
        <w:pBdr>
          <w:top w:val="single" w:sz="4" w:space="1" w:color="auto"/>
          <w:left w:val="single" w:sz="4" w:space="4" w:color="auto"/>
          <w:bottom w:val="single" w:sz="4" w:space="1" w:color="auto"/>
          <w:right w:val="single" w:sz="4" w:space="4" w:color="auto"/>
        </w:pBdr>
      </w:pPr>
      <w:r w:rsidRPr="000E37C2">
        <w:t>1</w:t>
      </w:r>
      <w:r w:rsidRPr="000E37C2">
        <w:tab/>
        <w:t xml:space="preserve">For LTE-NR tight interworking where LTE is the MN </w:t>
      </w:r>
      <w:r>
        <w:t>with SCG SRB</w:t>
      </w:r>
      <w:r w:rsidRPr="000E37C2">
        <w:t xml:space="preserve"> configured, only </w:t>
      </w:r>
      <w:r>
        <w:t>one SRB is required on the SN side, and only for messages corresponding to SRB1.</w:t>
      </w:r>
    </w:p>
    <w:p w14:paraId="7F397022" w14:textId="77777777" w:rsidR="009343AE" w:rsidRDefault="009343AE" w:rsidP="009343AE">
      <w:pPr>
        <w:pStyle w:val="Doc-text2"/>
        <w:pBdr>
          <w:top w:val="single" w:sz="4" w:space="1" w:color="auto"/>
          <w:left w:val="single" w:sz="4" w:space="4" w:color="auto"/>
          <w:bottom w:val="single" w:sz="4" w:space="1" w:color="auto"/>
          <w:right w:val="single" w:sz="4" w:space="4" w:color="auto"/>
        </w:pBdr>
      </w:pPr>
      <w:r w:rsidRPr="00246194">
        <w:rPr>
          <w:b/>
        </w:rPr>
        <w:t>FFS</w:t>
      </w:r>
      <w:r>
        <w:t xml:space="preserve"> is anything additional is needed for SN failure cases.</w:t>
      </w:r>
    </w:p>
    <w:p w14:paraId="6B096F0F" w14:textId="6204EDBB" w:rsidR="00B203FE" w:rsidRDefault="00B203FE" w:rsidP="00755F63"/>
    <w:p w14:paraId="52714179" w14:textId="45250A15" w:rsidR="00FC5B8A" w:rsidRPr="00A10261" w:rsidRDefault="00FC5B8A" w:rsidP="001C0A41">
      <w:r w:rsidRPr="00A10261">
        <w:t xml:space="preserve">As far as the SCG SRB unreliability is concerned, because it has the highest coding, any </w:t>
      </w:r>
      <w:r>
        <w:t>problem with its operation should be enough to lead to SCG RLF i.e. the CP failure must mean that the UP cannot be maintained as well. Hence</w:t>
      </w:r>
      <w:r w:rsidR="0052225D">
        <w:t>,</w:t>
      </w:r>
      <w:r>
        <w:t xml:space="preserve"> we propose:</w:t>
      </w:r>
    </w:p>
    <w:p w14:paraId="0829B8D6" w14:textId="0BA2939A" w:rsidR="001C0A41" w:rsidRPr="00B05F6B" w:rsidRDefault="001C0A41" w:rsidP="001C0A41">
      <w:pPr>
        <w:rPr>
          <w:b/>
        </w:rPr>
      </w:pPr>
      <w:r w:rsidRPr="00210770">
        <w:rPr>
          <w:b/>
        </w:rPr>
        <w:t xml:space="preserve">Proposal </w:t>
      </w:r>
      <w:r w:rsidR="008120A9">
        <w:rPr>
          <w:b/>
        </w:rPr>
        <w:t>5</w:t>
      </w:r>
      <w:r w:rsidRPr="00210770">
        <w:rPr>
          <w:b/>
        </w:rPr>
        <w:t xml:space="preserve">: If SCG SRB is </w:t>
      </w:r>
      <w:r>
        <w:rPr>
          <w:b/>
        </w:rPr>
        <w:t>unreliabl</w:t>
      </w:r>
      <w:r w:rsidR="00DD4E74">
        <w:rPr>
          <w:b/>
        </w:rPr>
        <w:t>e</w:t>
      </w:r>
      <w:r w:rsidR="00264EEB">
        <w:rPr>
          <w:b/>
        </w:rPr>
        <w:t xml:space="preserve"> the SCG RLF condition is </w:t>
      </w:r>
      <w:r w:rsidR="00DD4E74">
        <w:rPr>
          <w:b/>
        </w:rPr>
        <w:t>considered met.</w:t>
      </w:r>
    </w:p>
    <w:p w14:paraId="0FA1652E" w14:textId="0E71DF7C" w:rsidR="00B05F6B" w:rsidRDefault="00FC5B8A" w:rsidP="007F5CC7">
      <w:pPr>
        <w:rPr>
          <w:b/>
        </w:rPr>
      </w:pPr>
      <w:r>
        <w:t>At SCG RLF, t</w:t>
      </w:r>
      <w:r w:rsidR="00B05F6B">
        <w:t xml:space="preserve">he UE should be able to continue using </w:t>
      </w:r>
      <w:r w:rsidR="00210770">
        <w:t xml:space="preserve">the MCG path if it is available, i.e. </w:t>
      </w:r>
      <w:r w:rsidR="00210770" w:rsidRPr="00210770">
        <w:t>MN leg should be used in both directions</w:t>
      </w:r>
      <w:r>
        <w:t>.</w:t>
      </w:r>
    </w:p>
    <w:p w14:paraId="2DB23F99" w14:textId="4A7D5CBA" w:rsidR="007F5CC7" w:rsidRDefault="007F5CC7" w:rsidP="007F5CC7">
      <w:pPr>
        <w:rPr>
          <w:b/>
        </w:rPr>
      </w:pPr>
      <w:r>
        <w:rPr>
          <w:b/>
        </w:rPr>
        <w:t xml:space="preserve">Proposal </w:t>
      </w:r>
      <w:r w:rsidR="00DC7A47">
        <w:rPr>
          <w:b/>
        </w:rPr>
        <w:t>6</w:t>
      </w:r>
      <w:r>
        <w:rPr>
          <w:b/>
        </w:rPr>
        <w:t>: The UE may continue using the MN leg</w:t>
      </w:r>
      <w:r w:rsidR="00210770">
        <w:rPr>
          <w:b/>
        </w:rPr>
        <w:t xml:space="preserve"> in DL and UL</w:t>
      </w:r>
      <w:r>
        <w:rPr>
          <w:b/>
        </w:rPr>
        <w:t xml:space="preserve"> </w:t>
      </w:r>
      <w:r w:rsidR="00972A08">
        <w:rPr>
          <w:b/>
        </w:rPr>
        <w:t xml:space="preserve">upon SCG failure </w:t>
      </w:r>
      <w:r w:rsidR="00DC7A47">
        <w:rPr>
          <w:b/>
        </w:rPr>
        <w:t>(</w:t>
      </w:r>
      <w:r w:rsidR="00972A08">
        <w:rPr>
          <w:b/>
        </w:rPr>
        <w:t>resulting from SCG SRB being unreliable</w:t>
      </w:r>
      <w:r w:rsidR="00DC7A47">
        <w:rPr>
          <w:b/>
        </w:rPr>
        <w:t>).</w:t>
      </w:r>
    </w:p>
    <w:p w14:paraId="68A95A20" w14:textId="5E76768B" w:rsidR="00B05F6B" w:rsidRDefault="00DC7A47" w:rsidP="007F5CC7">
      <w:pPr>
        <w:rPr>
          <w:b/>
        </w:rPr>
      </w:pPr>
      <w:r>
        <w:t>After SCG RLF, t</w:t>
      </w:r>
      <w:r w:rsidR="00B05F6B">
        <w:t>he UE should be able to indicate any newly found NR cells in its uplink report to the MN. The MN should forwar</w:t>
      </w:r>
      <w:r>
        <w:t>d the report to the SN.</w:t>
      </w:r>
    </w:p>
    <w:p w14:paraId="14A33FEE" w14:textId="77777777" w:rsidR="005B1952" w:rsidRPr="00DD4E74" w:rsidRDefault="005B1952" w:rsidP="005B1952">
      <w:pPr>
        <w:rPr>
          <w:b/>
        </w:rPr>
      </w:pPr>
      <w:r w:rsidRPr="00DD4E74">
        <w:rPr>
          <w:b/>
        </w:rPr>
        <w:t xml:space="preserve">Proposal 7: After SCG RLF is declared an UE may report newly found NR cells </w:t>
      </w:r>
      <w:r>
        <w:rPr>
          <w:b/>
        </w:rPr>
        <w:t>in the SCGFailureInformation message.</w:t>
      </w:r>
    </w:p>
    <w:p w14:paraId="53D111FC" w14:textId="55D84582" w:rsidR="00B05F6B" w:rsidRDefault="005B1952" w:rsidP="005B1952">
      <w:pPr>
        <w:rPr>
          <w:b/>
        </w:rPr>
      </w:pPr>
      <w:r w:rsidRPr="00DD4E74">
        <w:rPr>
          <w:b/>
        </w:rPr>
        <w:t>Proposal 8: The SCGFailureInformation</w:t>
      </w:r>
      <w:r>
        <w:rPr>
          <w:b/>
        </w:rPr>
        <w:t xml:space="preserve"> message</w:t>
      </w:r>
      <w:r w:rsidRPr="00DD4E74">
        <w:rPr>
          <w:b/>
        </w:rPr>
        <w:t xml:space="preserve"> is forwarded to the SN by the MN.</w:t>
      </w:r>
    </w:p>
    <w:p w14:paraId="49C7F5B5" w14:textId="1AD8B267" w:rsidR="009343AE" w:rsidRDefault="007F5CC7" w:rsidP="007F5CC7">
      <w:pPr>
        <w:rPr>
          <w:b/>
        </w:rPr>
      </w:pPr>
      <w:r>
        <w:rPr>
          <w:b/>
        </w:rPr>
        <w:t xml:space="preserve">Proposal </w:t>
      </w:r>
      <w:r w:rsidR="00DC7A47">
        <w:rPr>
          <w:b/>
        </w:rPr>
        <w:t>9</w:t>
      </w:r>
      <w:r>
        <w:rPr>
          <w:b/>
        </w:rPr>
        <w:t xml:space="preserve">: </w:t>
      </w:r>
      <w:r w:rsidR="00B30779">
        <w:rPr>
          <w:b/>
        </w:rPr>
        <w:t xml:space="preserve">Based on the analysis of measurement results the </w:t>
      </w:r>
      <w:r>
        <w:rPr>
          <w:b/>
        </w:rPr>
        <w:t>SgNB initiates the SCG re-establishment procedure towards the MN.</w:t>
      </w:r>
    </w:p>
    <w:p w14:paraId="43A12B72" w14:textId="3CD70BC0" w:rsidR="00CD4C7B" w:rsidRPr="006E13D1" w:rsidRDefault="00A51BA3" w:rsidP="00CD4C7B">
      <w:pPr>
        <w:pStyle w:val="Heading1"/>
      </w:pPr>
      <w:r>
        <w:t>3</w:t>
      </w:r>
      <w:r w:rsidR="00CD4C7B" w:rsidRPr="006E13D1">
        <w:tab/>
      </w:r>
      <w:r w:rsidR="000263F6">
        <w:t>Conclusion</w:t>
      </w:r>
    </w:p>
    <w:p w14:paraId="35AC2D82" w14:textId="6A8EDBC0" w:rsidR="00B05F6B" w:rsidRPr="00B05F6B" w:rsidRDefault="00B05F6B" w:rsidP="00B05F6B">
      <w:r w:rsidRPr="00B05F6B">
        <w:t>In this contribution, several miscellaneous topics have been dealt with on the aspects of SCG SRB initial addition and SCG RLF handling.</w:t>
      </w:r>
    </w:p>
    <w:p w14:paraId="13E820EE" w14:textId="77777777" w:rsidR="00DD4E74" w:rsidRPr="00DD4E74" w:rsidRDefault="00DD4E74" w:rsidP="00DD4E74">
      <w:pPr>
        <w:rPr>
          <w:b/>
        </w:rPr>
      </w:pPr>
      <w:r w:rsidRPr="00DD4E74">
        <w:rPr>
          <w:b/>
        </w:rPr>
        <w:t>Proposal 1: SCG SRB is always configured by default during the initial SgNB addition.</w:t>
      </w:r>
    </w:p>
    <w:p w14:paraId="4B43FF5C" w14:textId="77777777" w:rsidR="00DD4E74" w:rsidRPr="00DD4E74" w:rsidRDefault="00DD4E74" w:rsidP="00DD4E74">
      <w:pPr>
        <w:rPr>
          <w:b/>
        </w:rPr>
      </w:pPr>
      <w:r w:rsidRPr="00DD4E74">
        <w:rPr>
          <w:b/>
        </w:rPr>
        <w:t>Proposal 2: SgNB addition procedure is considered failed if SN cannot allocate SCG SRB.</w:t>
      </w:r>
    </w:p>
    <w:p w14:paraId="0AA84F68" w14:textId="77777777" w:rsidR="00DD4E74" w:rsidRPr="00DD4E74" w:rsidRDefault="00DD4E74" w:rsidP="00DD4E74">
      <w:pPr>
        <w:rPr>
          <w:b/>
        </w:rPr>
      </w:pPr>
      <w:r w:rsidRPr="00DD4E74">
        <w:rPr>
          <w:b/>
        </w:rPr>
        <w:t>Proposal 3: SCG SRB may be reconfigured by the SN using the RRCConnectionReconfiguration transmitted on the SCG SRB.</w:t>
      </w:r>
    </w:p>
    <w:p w14:paraId="75FAFA3B" w14:textId="5005DDE4" w:rsidR="00DD4E74" w:rsidRPr="00DD4E74" w:rsidRDefault="00DD4E74" w:rsidP="00DD4E74">
      <w:pPr>
        <w:rPr>
          <w:b/>
        </w:rPr>
      </w:pPr>
      <w:r w:rsidRPr="00DD4E74">
        <w:rPr>
          <w:b/>
        </w:rPr>
        <w:t>Proposal 4: The SN RRC PDU contains a transaction identifier.</w:t>
      </w:r>
    </w:p>
    <w:p w14:paraId="385EA524" w14:textId="77777777" w:rsidR="00DD4E74" w:rsidRPr="00DD4E74" w:rsidRDefault="00DD4E74" w:rsidP="00DD4E74">
      <w:pPr>
        <w:rPr>
          <w:b/>
        </w:rPr>
      </w:pPr>
      <w:r w:rsidRPr="00DD4E74">
        <w:rPr>
          <w:b/>
        </w:rPr>
        <w:t>Proposal 5: If SCG SRB is unreliable the SCG RLF condition is considered met.</w:t>
      </w:r>
    </w:p>
    <w:p w14:paraId="21F22BB9" w14:textId="77777777" w:rsidR="00DD4E74" w:rsidRPr="00DD4E74" w:rsidRDefault="00DD4E74" w:rsidP="00DD4E74">
      <w:pPr>
        <w:rPr>
          <w:b/>
        </w:rPr>
      </w:pPr>
      <w:r w:rsidRPr="00DD4E74">
        <w:rPr>
          <w:b/>
        </w:rPr>
        <w:t>Proposal 6: The UE may continue using the MN leg in DL and UL upon SCG failure (resulting from SCG SRB being unreliable).</w:t>
      </w:r>
    </w:p>
    <w:p w14:paraId="62842349" w14:textId="13F564D5" w:rsidR="00DD4E74" w:rsidRPr="00DD4E74" w:rsidRDefault="00DD4E74" w:rsidP="00DD4E74">
      <w:pPr>
        <w:rPr>
          <w:b/>
        </w:rPr>
      </w:pPr>
      <w:r w:rsidRPr="00DD4E74">
        <w:rPr>
          <w:b/>
        </w:rPr>
        <w:t xml:space="preserve">Proposal 7: After SCG RLF is declared an UE may report newly found NR cells </w:t>
      </w:r>
      <w:r>
        <w:rPr>
          <w:b/>
        </w:rPr>
        <w:t>in the SCGFailureInformation message.</w:t>
      </w:r>
    </w:p>
    <w:p w14:paraId="024A8183" w14:textId="6CA619C5" w:rsidR="00DD4E74" w:rsidRPr="00DD4E74" w:rsidRDefault="00DD4E74" w:rsidP="00DD4E74">
      <w:pPr>
        <w:rPr>
          <w:b/>
        </w:rPr>
      </w:pPr>
      <w:r w:rsidRPr="00DD4E74">
        <w:rPr>
          <w:b/>
        </w:rPr>
        <w:t>Proposal 8: The SCGFailureInformation</w:t>
      </w:r>
      <w:r>
        <w:rPr>
          <w:b/>
        </w:rPr>
        <w:t xml:space="preserve"> message</w:t>
      </w:r>
      <w:r w:rsidRPr="00DD4E74">
        <w:rPr>
          <w:b/>
        </w:rPr>
        <w:t xml:space="preserve"> is forwarded to the SN by the MN.</w:t>
      </w:r>
    </w:p>
    <w:p w14:paraId="190C81D1" w14:textId="7F5737D5" w:rsidR="00CD4C7B" w:rsidRPr="00B05F6B" w:rsidRDefault="00DD4E74" w:rsidP="00DD4E74">
      <w:pPr>
        <w:rPr>
          <w:b/>
        </w:rPr>
      </w:pPr>
      <w:r w:rsidRPr="00DD4E74">
        <w:rPr>
          <w:b/>
        </w:rPr>
        <w:t>Proposal 9: Based on the analysis of measurement results the SgNB initiates the SCG re-establishment procedure towards the MN.</w:t>
      </w:r>
    </w:p>
    <w:p w14:paraId="0FDCFAC2" w14:textId="77777777" w:rsidR="00CD4C7B" w:rsidRPr="006E13D1" w:rsidRDefault="00CD4C7B" w:rsidP="00CD4C7B">
      <w:pPr>
        <w:pStyle w:val="Heading1"/>
      </w:pPr>
      <w:r w:rsidRPr="006E13D1">
        <w:lastRenderedPageBreak/>
        <w:t>References</w:t>
      </w:r>
    </w:p>
    <w:p w14:paraId="5524F183" w14:textId="404E2675" w:rsidR="00CD4C7B" w:rsidRPr="006E13D1" w:rsidRDefault="00DC7A47" w:rsidP="00CD4C7B">
      <w:pPr>
        <w:numPr>
          <w:ilvl w:val="0"/>
          <w:numId w:val="4"/>
        </w:numPr>
        <w:overflowPunct w:val="0"/>
        <w:autoSpaceDE w:val="0"/>
        <w:autoSpaceDN w:val="0"/>
        <w:adjustRightInd w:val="0"/>
        <w:textAlignment w:val="baseline"/>
      </w:pPr>
      <w:bookmarkStart w:id="2" w:name="_Ref75086397"/>
      <w:r w:rsidRPr="00DC7A47">
        <w:t xml:space="preserve">R2-1704346 </w:t>
      </w:r>
      <w:r w:rsidRPr="00DC7A47">
        <w:rPr>
          <w:i/>
        </w:rPr>
        <w:t>Further considerations for SCG SRB and RLF handling</w:t>
      </w:r>
      <w:r>
        <w:rPr>
          <w:i/>
        </w:rPr>
        <w:t xml:space="preserve">, </w:t>
      </w:r>
      <w:r w:rsidRPr="00DC7A47">
        <w:t>Nokia, Alcatel-Lucent Shanghai Bell</w:t>
      </w:r>
      <w:bookmarkEnd w:id="2"/>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E7603" w14:textId="77777777" w:rsidR="008272A8" w:rsidRDefault="008272A8">
      <w:r>
        <w:separator/>
      </w:r>
    </w:p>
  </w:endnote>
  <w:endnote w:type="continuationSeparator" w:id="0">
    <w:p w14:paraId="0D7753A4" w14:textId="77777777" w:rsidR="008272A8" w:rsidRDefault="00827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2D4CA" w14:textId="77777777" w:rsidR="008272A8" w:rsidRDefault="008272A8">
      <w:r>
        <w:separator/>
      </w:r>
    </w:p>
  </w:footnote>
  <w:footnote w:type="continuationSeparator" w:id="0">
    <w:p w14:paraId="01BB5B12" w14:textId="77777777" w:rsidR="008272A8" w:rsidRDefault="00827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CB0678"/>
    <w:multiLevelType w:val="hybridMultilevel"/>
    <w:tmpl w:val="9EB65D92"/>
    <w:lvl w:ilvl="0" w:tplc="F6E8AA7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B37ED1"/>
    <w:multiLevelType w:val="hybridMultilevel"/>
    <w:tmpl w:val="69844CE0"/>
    <w:lvl w:ilvl="0" w:tplc="C4D6BE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63F6"/>
    <w:rsid w:val="00033397"/>
    <w:rsid w:val="00040095"/>
    <w:rsid w:val="00080512"/>
    <w:rsid w:val="00090468"/>
    <w:rsid w:val="000B7BCF"/>
    <w:rsid w:val="000C522B"/>
    <w:rsid w:val="000D0766"/>
    <w:rsid w:val="000D58AB"/>
    <w:rsid w:val="000E1D32"/>
    <w:rsid w:val="0011566A"/>
    <w:rsid w:val="00117ACD"/>
    <w:rsid w:val="00127224"/>
    <w:rsid w:val="00145075"/>
    <w:rsid w:val="00171748"/>
    <w:rsid w:val="001741A0"/>
    <w:rsid w:val="0017428D"/>
    <w:rsid w:val="00194CD0"/>
    <w:rsid w:val="001B49C9"/>
    <w:rsid w:val="001C0A41"/>
    <w:rsid w:val="001D623C"/>
    <w:rsid w:val="001F168B"/>
    <w:rsid w:val="001F407D"/>
    <w:rsid w:val="001F7831"/>
    <w:rsid w:val="00204045"/>
    <w:rsid w:val="00210770"/>
    <w:rsid w:val="0022606D"/>
    <w:rsid w:val="00264EEB"/>
    <w:rsid w:val="002747EC"/>
    <w:rsid w:val="002855BF"/>
    <w:rsid w:val="002D368B"/>
    <w:rsid w:val="002F0D22"/>
    <w:rsid w:val="002F21A5"/>
    <w:rsid w:val="0031637B"/>
    <w:rsid w:val="003172DC"/>
    <w:rsid w:val="00326069"/>
    <w:rsid w:val="0035462D"/>
    <w:rsid w:val="003837EC"/>
    <w:rsid w:val="0039385B"/>
    <w:rsid w:val="003B40AD"/>
    <w:rsid w:val="003C4E37"/>
    <w:rsid w:val="003E16BE"/>
    <w:rsid w:val="00401855"/>
    <w:rsid w:val="004744B5"/>
    <w:rsid w:val="00477455"/>
    <w:rsid w:val="00481B2A"/>
    <w:rsid w:val="0049168F"/>
    <w:rsid w:val="004D3578"/>
    <w:rsid w:val="004D380D"/>
    <w:rsid w:val="004E213A"/>
    <w:rsid w:val="00503171"/>
    <w:rsid w:val="00506C28"/>
    <w:rsid w:val="0050705E"/>
    <w:rsid w:val="0052225D"/>
    <w:rsid w:val="005253A7"/>
    <w:rsid w:val="00534DA0"/>
    <w:rsid w:val="00543E6C"/>
    <w:rsid w:val="0056267E"/>
    <w:rsid w:val="00565087"/>
    <w:rsid w:val="0056573F"/>
    <w:rsid w:val="00572105"/>
    <w:rsid w:val="00580147"/>
    <w:rsid w:val="005B1952"/>
    <w:rsid w:val="00611566"/>
    <w:rsid w:val="006362DC"/>
    <w:rsid w:val="006427F5"/>
    <w:rsid w:val="00646D99"/>
    <w:rsid w:val="00656910"/>
    <w:rsid w:val="006C66D8"/>
    <w:rsid w:val="006D1E24"/>
    <w:rsid w:val="006E1417"/>
    <w:rsid w:val="006F6A2C"/>
    <w:rsid w:val="00700A85"/>
    <w:rsid w:val="00710201"/>
    <w:rsid w:val="0072507C"/>
    <w:rsid w:val="00734A5B"/>
    <w:rsid w:val="00737753"/>
    <w:rsid w:val="00744E76"/>
    <w:rsid w:val="00755F63"/>
    <w:rsid w:val="00757D40"/>
    <w:rsid w:val="00781F0F"/>
    <w:rsid w:val="0078727C"/>
    <w:rsid w:val="0079049D"/>
    <w:rsid w:val="00792E51"/>
    <w:rsid w:val="007A2DEB"/>
    <w:rsid w:val="007B18D8"/>
    <w:rsid w:val="007C095F"/>
    <w:rsid w:val="007C576F"/>
    <w:rsid w:val="007F5CC7"/>
    <w:rsid w:val="008028A4"/>
    <w:rsid w:val="008120A9"/>
    <w:rsid w:val="00813245"/>
    <w:rsid w:val="008272A8"/>
    <w:rsid w:val="00861173"/>
    <w:rsid w:val="00872C9D"/>
    <w:rsid w:val="008768CA"/>
    <w:rsid w:val="00877EF9"/>
    <w:rsid w:val="00880559"/>
    <w:rsid w:val="008A7AA2"/>
    <w:rsid w:val="008B5306"/>
    <w:rsid w:val="008D394B"/>
    <w:rsid w:val="0090271F"/>
    <w:rsid w:val="00902DB9"/>
    <w:rsid w:val="0090466A"/>
    <w:rsid w:val="00922D06"/>
    <w:rsid w:val="00924DCC"/>
    <w:rsid w:val="009343AE"/>
    <w:rsid w:val="00936071"/>
    <w:rsid w:val="00940212"/>
    <w:rsid w:val="00942EC2"/>
    <w:rsid w:val="009574EB"/>
    <w:rsid w:val="00961B32"/>
    <w:rsid w:val="00970DB3"/>
    <w:rsid w:val="00972A08"/>
    <w:rsid w:val="00974BB0"/>
    <w:rsid w:val="009A0AF3"/>
    <w:rsid w:val="009B07CD"/>
    <w:rsid w:val="009C19E9"/>
    <w:rsid w:val="00A10261"/>
    <w:rsid w:val="00A10F02"/>
    <w:rsid w:val="00A204CA"/>
    <w:rsid w:val="00A45385"/>
    <w:rsid w:val="00A51BA3"/>
    <w:rsid w:val="00A53724"/>
    <w:rsid w:val="00A82346"/>
    <w:rsid w:val="00A9671C"/>
    <w:rsid w:val="00AA1553"/>
    <w:rsid w:val="00B02FB2"/>
    <w:rsid w:val="00B05F6B"/>
    <w:rsid w:val="00B15449"/>
    <w:rsid w:val="00B203FE"/>
    <w:rsid w:val="00B30779"/>
    <w:rsid w:val="00B34D43"/>
    <w:rsid w:val="00B47FD1"/>
    <w:rsid w:val="00B516BB"/>
    <w:rsid w:val="00B81C66"/>
    <w:rsid w:val="00B95F18"/>
    <w:rsid w:val="00BD1356"/>
    <w:rsid w:val="00BD7AAE"/>
    <w:rsid w:val="00BE666D"/>
    <w:rsid w:val="00BE7E09"/>
    <w:rsid w:val="00C12B51"/>
    <w:rsid w:val="00C24650"/>
    <w:rsid w:val="00C26566"/>
    <w:rsid w:val="00C33079"/>
    <w:rsid w:val="00C6312F"/>
    <w:rsid w:val="00C83A13"/>
    <w:rsid w:val="00C9068C"/>
    <w:rsid w:val="00C92967"/>
    <w:rsid w:val="00CA3D0C"/>
    <w:rsid w:val="00CA654B"/>
    <w:rsid w:val="00CA76C9"/>
    <w:rsid w:val="00CB117B"/>
    <w:rsid w:val="00CB4EC3"/>
    <w:rsid w:val="00CD4C7B"/>
    <w:rsid w:val="00D300EA"/>
    <w:rsid w:val="00D738D6"/>
    <w:rsid w:val="00D80795"/>
    <w:rsid w:val="00D87E00"/>
    <w:rsid w:val="00D9134D"/>
    <w:rsid w:val="00D96D11"/>
    <w:rsid w:val="00DA7A03"/>
    <w:rsid w:val="00DB1818"/>
    <w:rsid w:val="00DC19CF"/>
    <w:rsid w:val="00DC309B"/>
    <w:rsid w:val="00DC4DA2"/>
    <w:rsid w:val="00DC7A47"/>
    <w:rsid w:val="00DD4E74"/>
    <w:rsid w:val="00DF0499"/>
    <w:rsid w:val="00E03AB0"/>
    <w:rsid w:val="00E4046A"/>
    <w:rsid w:val="00E62835"/>
    <w:rsid w:val="00E77645"/>
    <w:rsid w:val="00E83697"/>
    <w:rsid w:val="00E91741"/>
    <w:rsid w:val="00EC4A25"/>
    <w:rsid w:val="00EC79C8"/>
    <w:rsid w:val="00EE5678"/>
    <w:rsid w:val="00F025A2"/>
    <w:rsid w:val="00F07388"/>
    <w:rsid w:val="00F151EE"/>
    <w:rsid w:val="00F2026E"/>
    <w:rsid w:val="00F2210A"/>
    <w:rsid w:val="00F37743"/>
    <w:rsid w:val="00F4241A"/>
    <w:rsid w:val="00F54A3D"/>
    <w:rsid w:val="00F653B8"/>
    <w:rsid w:val="00F71B89"/>
    <w:rsid w:val="00F7353C"/>
    <w:rsid w:val="00F76F8F"/>
    <w:rsid w:val="00FA1266"/>
    <w:rsid w:val="00FC1192"/>
    <w:rsid w:val="00FC5B8A"/>
    <w:rsid w:val="00FE0B98"/>
    <w:rsid w:val="4E36EE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8A7AA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A2"/>
    <w:rPr>
      <w:rFonts w:ascii="Arial" w:eastAsia="MS Mincho" w:hAnsi="Arial"/>
      <w:szCs w:val="24"/>
    </w:rPr>
  </w:style>
  <w:style w:type="table" w:styleId="TableGrid">
    <w:name w:val="Table Grid"/>
    <w:basedOn w:val="TableNormal"/>
    <w:rsid w:val="007377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37753"/>
    <w:rPr>
      <w:lang w:eastAsia="en-US"/>
    </w:rPr>
  </w:style>
  <w:style w:type="character" w:customStyle="1" w:styleId="B2Char">
    <w:name w:val="B2 Char"/>
    <w:link w:val="B2"/>
    <w:rsid w:val="00737753"/>
    <w:rPr>
      <w:lang w:eastAsia="en-US"/>
    </w:rPr>
  </w:style>
  <w:style w:type="paragraph" w:styleId="ListParagraph">
    <w:name w:val="List Paragraph"/>
    <w:basedOn w:val="Normal"/>
    <w:uiPriority w:val="34"/>
    <w:qFormat/>
    <w:rsid w:val="008D394B"/>
    <w:pPr>
      <w:ind w:left="720"/>
      <w:contextualSpacing/>
    </w:pPr>
  </w:style>
  <w:style w:type="character" w:styleId="CommentReference">
    <w:name w:val="annotation reference"/>
    <w:basedOn w:val="DefaultParagraphFont"/>
    <w:rsid w:val="00B05F6B"/>
    <w:rPr>
      <w:sz w:val="16"/>
      <w:szCs w:val="16"/>
    </w:rPr>
  </w:style>
  <w:style w:type="paragraph" w:styleId="CommentText">
    <w:name w:val="annotation text"/>
    <w:basedOn w:val="Normal"/>
    <w:link w:val="CommentTextChar"/>
    <w:rsid w:val="00B05F6B"/>
  </w:style>
  <w:style w:type="character" w:customStyle="1" w:styleId="CommentTextChar">
    <w:name w:val="Comment Text Char"/>
    <w:basedOn w:val="DefaultParagraphFont"/>
    <w:link w:val="CommentText"/>
    <w:rsid w:val="00B05F6B"/>
    <w:rPr>
      <w:lang w:eastAsia="en-US"/>
    </w:rPr>
  </w:style>
  <w:style w:type="paragraph" w:styleId="CommentSubject">
    <w:name w:val="annotation subject"/>
    <w:basedOn w:val="CommentText"/>
    <w:next w:val="CommentText"/>
    <w:link w:val="CommentSubjectChar"/>
    <w:rsid w:val="00B05F6B"/>
    <w:rPr>
      <w:b/>
      <w:bCs/>
    </w:rPr>
  </w:style>
  <w:style w:type="character" w:customStyle="1" w:styleId="CommentSubjectChar">
    <w:name w:val="Comment Subject Char"/>
    <w:basedOn w:val="CommentTextChar"/>
    <w:link w:val="CommentSubject"/>
    <w:rsid w:val="00B05F6B"/>
    <w:rPr>
      <w:b/>
      <w:bCs/>
      <w:lang w:eastAsia="en-US"/>
    </w:rPr>
  </w:style>
  <w:style w:type="paragraph" w:styleId="BalloonText">
    <w:name w:val="Balloon Text"/>
    <w:basedOn w:val="Normal"/>
    <w:link w:val="BalloonTextChar"/>
    <w:rsid w:val="00B05F6B"/>
    <w:pPr>
      <w:spacing w:after="0"/>
    </w:pPr>
    <w:rPr>
      <w:rFonts w:ascii="Segoe UI" w:hAnsi="Segoe UI" w:cs="Segoe UI"/>
      <w:sz w:val="18"/>
      <w:szCs w:val="18"/>
    </w:rPr>
  </w:style>
  <w:style w:type="character" w:customStyle="1" w:styleId="BalloonTextChar">
    <w:name w:val="Balloon Text Char"/>
    <w:basedOn w:val="DefaultParagraphFont"/>
    <w:link w:val="BalloonText"/>
    <w:rsid w:val="00B05F6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62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SP-5AIRPNAIUNRU-859666464-407</_dlc_DocId>
    <Information xmlns="3b34c8f0-1ef5-4d1e-bb66-517ce7fe7356" xsi:nil="true"/>
    <_dlc_DocIdUrl xmlns="71c5aaf6-e6ce-465b-b873-5148d2a4c105">
      <Url>https://nokia.sharepoint.com/sites/c5g/e2earch/_layouts/15/DocIdRedir.aspx?ID=SP-5AIRPNAIUNRU-859666464-407</Url>
      <Description>SP-5AIRPNAIUNRU-859666464-407</Description>
    </_dlc_DocIdUrl>
    <Associated_x0020_Task xmlns="3b34c8f0-1ef5-4d1e-bb66-517ce7fe7356"/>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ED236-D3F5-4213-B843-0EAD341B0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65BDFF-BFFF-4046-8654-6134F5BE1C7C}">
  <ds:schemaRefs>
    <ds:schemaRef ds:uri="http://schemas.microsoft.com/sharepoint/events"/>
  </ds:schemaRefs>
</ds:datastoreItem>
</file>

<file path=customXml/itemProps3.xml><?xml version="1.0" encoding="utf-8"?>
<ds:datastoreItem xmlns:ds="http://schemas.openxmlformats.org/officeDocument/2006/customXml" ds:itemID="{B79EE374-D605-450A-ACED-63E0531355E8}">
  <ds:schemaRefs>
    <ds:schemaRef ds:uri="http://schemas.microsoft.com/sharepoint/v3/contenttype/forms"/>
  </ds:schemaRefs>
</ds:datastoreItem>
</file>

<file path=customXml/itemProps4.xml><?xml version="1.0" encoding="utf-8"?>
<ds:datastoreItem xmlns:ds="http://schemas.openxmlformats.org/officeDocument/2006/customXml" ds:itemID="{DE8B7158-9919-4A5D-9349-BDDF458A73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D020C0B-84A6-4DB0-9F2D-FC4B9AEFC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1</Pages>
  <Words>1431</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Ali, Amaanat (Nokia - FI/Espoo)</dc:creator>
  <cp:lastModifiedBy>Ali, Amaanat (Nokia - FI/Espoo)</cp:lastModifiedBy>
  <cp:revision>11</cp:revision>
  <dcterms:created xsi:type="dcterms:W3CDTF">2017-06-08T18:01:00Z</dcterms:created>
  <dcterms:modified xsi:type="dcterms:W3CDTF">2017-06-17T06:07:00Z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8fed06f9-e099-4843-af5a-5685311f8e27</vt:lpwstr>
  </property>
  <property fmtid="{D5CDD505-2E9C-101B-9397-08002B2CF9AE}" pid="3" name="ContentTypeId">
    <vt:lpwstr>0x01010054371E7EC0F13943B87F9D9F2BE005B3</vt:lpwstr>
  </property>
</Properties>
</file>